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153" w:rsidRDefault="00C51153" w:rsidP="009B6FD6">
      <w:pPr>
        <w:pStyle w:val="CommentText"/>
        <w:ind w:right="386"/>
        <w:jc w:val="both"/>
      </w:pPr>
    </w:p>
    <w:p w:rsidR="00C51153" w:rsidRDefault="00C51153" w:rsidP="007C20F4">
      <w:pPr>
        <w:pStyle w:val="CommentText"/>
        <w:ind w:right="386" w:firstLine="540"/>
        <w:jc w:val="both"/>
      </w:pPr>
    </w:p>
    <w:p w:rsidR="00C51153" w:rsidRDefault="00C51153" w:rsidP="007C20F4">
      <w:pPr>
        <w:pStyle w:val="CommentText"/>
        <w:ind w:right="386" w:firstLine="540"/>
        <w:jc w:val="both"/>
      </w:pPr>
    </w:p>
    <w:p w:rsidR="00C51153" w:rsidRDefault="00C51153" w:rsidP="007C20F4">
      <w:pPr>
        <w:pStyle w:val="CommentText"/>
        <w:ind w:right="386" w:firstLine="540"/>
        <w:jc w:val="both"/>
      </w:pPr>
    </w:p>
    <w:p w:rsidR="00C51153" w:rsidRDefault="00C51153" w:rsidP="007C20F4">
      <w:pPr>
        <w:pStyle w:val="CommentText"/>
        <w:ind w:right="386" w:firstLine="540"/>
        <w:jc w:val="both"/>
      </w:pPr>
    </w:p>
    <w:p w:rsidR="00F4367A" w:rsidRPr="00FC3A80" w:rsidRDefault="00C973D6" w:rsidP="007C20F4">
      <w:pPr>
        <w:pStyle w:val="CommentText"/>
        <w:ind w:right="386" w:firstLine="540"/>
        <w:jc w:val="both"/>
      </w:pPr>
      <w:r w:rsidRPr="00FC3A80">
        <w:rPr>
          <w:noProof/>
          <w:lang w:eastAsia="en-GB"/>
        </w:rPr>
        <mc:AlternateContent>
          <mc:Choice Requires="wps">
            <w:drawing>
              <wp:anchor distT="0" distB="0" distL="114300" distR="114300" simplePos="0" relativeHeight="251657728" behindDoc="0" locked="0" layoutInCell="1" allowOverlap="1" wp14:anchorId="526DAF35" wp14:editId="54E770E6">
                <wp:simplePos x="0" y="0"/>
                <wp:positionH relativeFrom="column">
                  <wp:posOffset>5029200</wp:posOffset>
                </wp:positionH>
                <wp:positionV relativeFrom="paragraph">
                  <wp:posOffset>-683895</wp:posOffset>
                </wp:positionV>
                <wp:extent cx="1143000" cy="148590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7C03" w:rsidRDefault="00597C03">
                            <w:r>
                              <w:rPr>
                                <w:noProof/>
                                <w:lang w:eastAsia="en-GB"/>
                              </w:rPr>
                              <w:drawing>
                                <wp:inline distT="0" distB="0" distL="0" distR="0" wp14:anchorId="7195367A" wp14:editId="0457CE1A">
                                  <wp:extent cx="944245" cy="1262380"/>
                                  <wp:effectExtent l="0" t="0" r="0" b="762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4245" cy="12623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DAF35" id="_x0000_t202" coordsize="21600,21600" o:spt="202" path="m,l,21600r21600,l21600,xe">
                <v:stroke joinstyle="miter"/>
                <v:path gradientshapeok="t" o:connecttype="rect"/>
              </v:shapetype>
              <v:shape id="Text Box 2" o:spid="_x0000_s1026" type="#_x0000_t202" style="position:absolute;left:0;text-align:left;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" stroked="f">
                <v:textbox>
                  <w:txbxContent>
                    <w:p w:rsidR="00597C03" w:rsidRDefault="00597C03">
                      <w:r>
                        <w:rPr>
                          <w:noProof/>
                          <w:lang w:eastAsia="en-GB"/>
                        </w:rPr>
                        <w:drawing>
                          <wp:inline distT="0" distB="0" distL="0" distR="0" wp14:anchorId="7195367A" wp14:editId="0457CE1A">
                            <wp:extent cx="944245" cy="1262380"/>
                            <wp:effectExtent l="0" t="0" r="0" b="762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4245" cy="1262380"/>
                                    </a:xfrm>
                                    <a:prstGeom prst="rect">
                                      <a:avLst/>
                                    </a:prstGeom>
                                    <a:noFill/>
                                    <a:ln>
                                      <a:noFill/>
                                    </a:ln>
                                  </pic:spPr>
                                </pic:pic>
                              </a:graphicData>
                            </a:graphic>
                          </wp:inline>
                        </w:drawing>
                      </w:r>
                    </w:p>
                  </w:txbxContent>
                </v:textbox>
              </v:shape>
            </w:pict>
          </mc:Fallback>
        </mc:AlternateContent>
      </w:r>
      <w:r w:rsidR="00F4367A" w:rsidRPr="00FC3A80">
        <w:t xml:space="preserve">                                                                              </w:t>
      </w:r>
    </w:p>
    <w:p w:rsidR="00F4367A" w:rsidRPr="00FC3A80" w:rsidRDefault="00F4367A" w:rsidP="007C20F4">
      <w:pPr>
        <w:ind w:right="386" w:firstLine="540"/>
        <w:jc w:val="both"/>
        <w:rPr>
          <w:b/>
          <w:bCs/>
          <w:sz w:val="22"/>
          <w:szCs w:val="22"/>
        </w:rPr>
      </w:pPr>
    </w:p>
    <w:p w:rsidR="00F4367A" w:rsidRPr="0097022F" w:rsidRDefault="00F4367A" w:rsidP="00942056">
      <w:pPr>
        <w:tabs>
          <w:tab w:val="left" w:pos="2160"/>
        </w:tabs>
        <w:ind w:right="386"/>
        <w:jc w:val="both"/>
        <w:rPr>
          <w:rFonts w:cs="Arial"/>
          <w:b/>
          <w:bCs/>
        </w:rPr>
      </w:pPr>
      <w:r w:rsidRPr="0097022F">
        <w:rPr>
          <w:rFonts w:cs="Arial"/>
          <w:b/>
          <w:bCs/>
        </w:rPr>
        <w:t xml:space="preserve">To: </w:t>
      </w:r>
      <w:r w:rsidR="00942056">
        <w:rPr>
          <w:rFonts w:cs="Arial"/>
          <w:b/>
          <w:bCs/>
        </w:rPr>
        <w:tab/>
      </w:r>
      <w:r w:rsidR="00526981">
        <w:rPr>
          <w:rFonts w:cs="Arial"/>
          <w:b/>
          <w:bCs/>
        </w:rPr>
        <w:t>Cabinet</w:t>
      </w:r>
      <w:r w:rsidRPr="0097022F">
        <w:rPr>
          <w:rFonts w:cs="Arial"/>
          <w:b/>
          <w:bCs/>
        </w:rPr>
        <w:tab/>
      </w:r>
      <w:r w:rsidR="00956EB9" w:rsidRPr="0097022F">
        <w:rPr>
          <w:rFonts w:cs="Arial"/>
          <w:b/>
          <w:bCs/>
        </w:rPr>
        <w:t xml:space="preserve"> </w:t>
      </w:r>
      <w:r w:rsidRPr="0097022F">
        <w:rPr>
          <w:rFonts w:cs="Arial"/>
          <w:b/>
          <w:bCs/>
        </w:rPr>
        <w:tab/>
      </w:r>
      <w:r w:rsidRPr="0097022F">
        <w:rPr>
          <w:rFonts w:cs="Arial"/>
          <w:b/>
          <w:bCs/>
        </w:rPr>
        <w:tab/>
      </w:r>
      <w:r w:rsidRPr="0097022F">
        <w:rPr>
          <w:rFonts w:cs="Arial"/>
          <w:b/>
          <w:bCs/>
        </w:rPr>
        <w:tab/>
      </w:r>
    </w:p>
    <w:p w:rsidR="00F4367A" w:rsidRPr="0097022F" w:rsidRDefault="00F4367A" w:rsidP="00942056">
      <w:pPr>
        <w:ind w:right="386"/>
        <w:jc w:val="both"/>
        <w:rPr>
          <w:rFonts w:cs="Arial"/>
          <w:b/>
          <w:bCs/>
        </w:rPr>
      </w:pPr>
    </w:p>
    <w:p w:rsidR="00956EB9" w:rsidRPr="0097022F" w:rsidRDefault="00F4367A" w:rsidP="00942056">
      <w:pPr>
        <w:tabs>
          <w:tab w:val="left" w:pos="2127"/>
          <w:tab w:val="left" w:pos="6300"/>
          <w:tab w:val="left" w:pos="7380"/>
        </w:tabs>
        <w:ind w:right="386"/>
        <w:jc w:val="both"/>
        <w:rPr>
          <w:rFonts w:cs="Arial"/>
          <w:b/>
          <w:bCs/>
        </w:rPr>
      </w:pPr>
      <w:r w:rsidRPr="0097022F">
        <w:rPr>
          <w:rFonts w:cs="Arial"/>
          <w:b/>
          <w:bCs/>
        </w:rPr>
        <w:t>Date:</w:t>
      </w:r>
      <w:r w:rsidRPr="0097022F">
        <w:rPr>
          <w:rFonts w:cs="Arial"/>
          <w:b/>
          <w:bCs/>
        </w:rPr>
        <w:tab/>
      </w:r>
      <w:r w:rsidR="00F253B8">
        <w:rPr>
          <w:rFonts w:cs="Arial"/>
          <w:b/>
          <w:bCs/>
        </w:rPr>
        <w:t>9</w:t>
      </w:r>
      <w:r w:rsidR="00FB14CD" w:rsidRPr="0097022F">
        <w:rPr>
          <w:rFonts w:cs="Arial"/>
          <w:b/>
          <w:bCs/>
        </w:rPr>
        <w:t xml:space="preserve"> December 20</w:t>
      </w:r>
      <w:r w:rsidR="00023727">
        <w:rPr>
          <w:rFonts w:cs="Arial"/>
          <w:b/>
          <w:bCs/>
        </w:rPr>
        <w:t>20</w:t>
      </w:r>
    </w:p>
    <w:p w:rsidR="00BC40F5" w:rsidRPr="0097022F" w:rsidRDefault="00FD359F" w:rsidP="00942056">
      <w:pPr>
        <w:tabs>
          <w:tab w:val="left" w:pos="2160"/>
          <w:tab w:val="left" w:pos="6300"/>
          <w:tab w:val="left" w:pos="7380"/>
        </w:tabs>
        <w:ind w:right="386"/>
        <w:jc w:val="both"/>
        <w:rPr>
          <w:rFonts w:cs="Arial"/>
          <w:b/>
          <w:bCs/>
        </w:rPr>
      </w:pPr>
      <w:r>
        <w:rPr>
          <w:rFonts w:cs="Arial"/>
          <w:b/>
          <w:bCs/>
        </w:rPr>
        <w:t xml:space="preserve">   </w:t>
      </w:r>
    </w:p>
    <w:p w:rsidR="00F4367A" w:rsidRPr="0097022F" w:rsidRDefault="00F4367A" w:rsidP="00942056">
      <w:pPr>
        <w:tabs>
          <w:tab w:val="left" w:pos="2160"/>
          <w:tab w:val="left" w:pos="6300"/>
          <w:tab w:val="left" w:pos="7380"/>
        </w:tabs>
        <w:ind w:right="386"/>
        <w:jc w:val="both"/>
        <w:rPr>
          <w:rFonts w:cs="Arial"/>
          <w:b/>
          <w:bCs/>
        </w:rPr>
      </w:pPr>
      <w:r w:rsidRPr="0097022F">
        <w:rPr>
          <w:rFonts w:cs="Arial"/>
          <w:b/>
          <w:bCs/>
        </w:rPr>
        <w:tab/>
      </w:r>
    </w:p>
    <w:p w:rsidR="00F4367A" w:rsidRPr="0097022F" w:rsidRDefault="00F4367A" w:rsidP="00942056">
      <w:pPr>
        <w:ind w:right="386"/>
        <w:jc w:val="both"/>
        <w:rPr>
          <w:rFonts w:cs="Arial"/>
          <w:b/>
          <w:bCs/>
        </w:rPr>
      </w:pPr>
    </w:p>
    <w:p w:rsidR="00F4367A" w:rsidRPr="0097022F" w:rsidRDefault="00F4367A" w:rsidP="00942056">
      <w:pPr>
        <w:ind w:right="386"/>
        <w:jc w:val="both"/>
        <w:rPr>
          <w:rFonts w:cs="Arial"/>
          <w:b/>
          <w:bCs/>
        </w:rPr>
      </w:pPr>
      <w:r w:rsidRPr="0097022F">
        <w:rPr>
          <w:rFonts w:cs="Arial"/>
          <w:b/>
          <w:bCs/>
        </w:rPr>
        <w:t>Report of:</w:t>
      </w:r>
      <w:r w:rsidRPr="0097022F">
        <w:rPr>
          <w:rFonts w:cs="Arial"/>
          <w:b/>
          <w:bCs/>
        </w:rPr>
        <w:tab/>
      </w:r>
      <w:r w:rsidR="00F06FC6">
        <w:rPr>
          <w:rFonts w:cs="Arial"/>
          <w:b/>
          <w:bCs/>
        </w:rPr>
        <w:tab/>
      </w:r>
      <w:r w:rsidR="005501CA">
        <w:rPr>
          <w:rFonts w:cs="Arial"/>
          <w:b/>
          <w:bCs/>
        </w:rPr>
        <w:t xml:space="preserve">Head of Financial </w:t>
      </w:r>
      <w:r w:rsidR="009106CA">
        <w:rPr>
          <w:rFonts w:cs="Arial"/>
          <w:b/>
          <w:bCs/>
        </w:rPr>
        <w:t>Services</w:t>
      </w:r>
    </w:p>
    <w:p w:rsidR="00F4367A" w:rsidRPr="0097022F" w:rsidRDefault="00F4367A" w:rsidP="00942056">
      <w:pPr>
        <w:tabs>
          <w:tab w:val="left" w:pos="2160"/>
        </w:tabs>
        <w:ind w:right="386"/>
        <w:jc w:val="both"/>
        <w:rPr>
          <w:rFonts w:cs="Arial"/>
          <w:b/>
          <w:bCs/>
        </w:rPr>
      </w:pPr>
    </w:p>
    <w:p w:rsidR="00F4367A" w:rsidRPr="0097022F" w:rsidRDefault="00F4367A" w:rsidP="00416EFF">
      <w:pPr>
        <w:ind w:left="2127" w:right="386" w:hanging="2127"/>
        <w:rPr>
          <w:rFonts w:cs="Arial"/>
          <w:b/>
          <w:bCs/>
        </w:rPr>
      </w:pPr>
      <w:r w:rsidRPr="0097022F">
        <w:rPr>
          <w:rFonts w:cs="Arial"/>
          <w:b/>
          <w:bCs/>
        </w:rPr>
        <w:t xml:space="preserve">Title of Report: </w:t>
      </w:r>
      <w:r w:rsidR="00416EFF">
        <w:rPr>
          <w:rFonts w:cs="Arial"/>
          <w:b/>
          <w:bCs/>
        </w:rPr>
        <w:tab/>
      </w:r>
      <w:r w:rsidR="00E0139B" w:rsidRPr="0097022F">
        <w:rPr>
          <w:rFonts w:cs="Arial"/>
          <w:b/>
          <w:bCs/>
        </w:rPr>
        <w:t xml:space="preserve">Medium Term Financial Strategy </w:t>
      </w:r>
      <w:r w:rsidR="00E9541D" w:rsidRPr="0097022F">
        <w:rPr>
          <w:rFonts w:cs="Arial"/>
          <w:b/>
          <w:bCs/>
        </w:rPr>
        <w:t>20</w:t>
      </w:r>
      <w:r w:rsidR="0084493A">
        <w:rPr>
          <w:rFonts w:cs="Arial"/>
          <w:b/>
          <w:bCs/>
        </w:rPr>
        <w:t>2</w:t>
      </w:r>
      <w:r w:rsidR="00023727">
        <w:rPr>
          <w:rFonts w:cs="Arial"/>
          <w:b/>
          <w:bCs/>
        </w:rPr>
        <w:t>2</w:t>
      </w:r>
      <w:r w:rsidR="00DB1309">
        <w:rPr>
          <w:rFonts w:cs="Arial"/>
          <w:b/>
          <w:bCs/>
        </w:rPr>
        <w:t>-</w:t>
      </w:r>
      <w:r w:rsidR="00A22A47">
        <w:rPr>
          <w:rFonts w:cs="Arial"/>
          <w:b/>
          <w:bCs/>
        </w:rPr>
        <w:t>2</w:t>
      </w:r>
      <w:r w:rsidR="00023727">
        <w:rPr>
          <w:rFonts w:cs="Arial"/>
          <w:b/>
          <w:bCs/>
        </w:rPr>
        <w:t>3</w:t>
      </w:r>
      <w:r w:rsidR="00E9541D" w:rsidRPr="0097022F">
        <w:rPr>
          <w:rFonts w:cs="Arial"/>
          <w:b/>
          <w:bCs/>
        </w:rPr>
        <w:t xml:space="preserve"> </w:t>
      </w:r>
      <w:r w:rsidR="00C37395">
        <w:rPr>
          <w:rFonts w:cs="Arial"/>
          <w:b/>
          <w:bCs/>
        </w:rPr>
        <w:t>to 202</w:t>
      </w:r>
      <w:r w:rsidR="00023727">
        <w:rPr>
          <w:rFonts w:cs="Arial"/>
          <w:b/>
          <w:bCs/>
        </w:rPr>
        <w:t>4</w:t>
      </w:r>
      <w:r w:rsidR="00ED6871">
        <w:rPr>
          <w:rFonts w:cs="Arial"/>
          <w:b/>
          <w:bCs/>
        </w:rPr>
        <w:t>-</w:t>
      </w:r>
      <w:r w:rsidR="00C37395">
        <w:rPr>
          <w:rFonts w:cs="Arial"/>
          <w:b/>
          <w:bCs/>
        </w:rPr>
        <w:t>2</w:t>
      </w:r>
      <w:r w:rsidR="00023727">
        <w:rPr>
          <w:rFonts w:cs="Arial"/>
          <w:b/>
          <w:bCs/>
        </w:rPr>
        <w:t>5</w:t>
      </w:r>
      <w:r w:rsidR="00A22A47">
        <w:rPr>
          <w:rFonts w:cs="Arial"/>
          <w:b/>
          <w:bCs/>
        </w:rPr>
        <w:t xml:space="preserve"> </w:t>
      </w:r>
      <w:r w:rsidR="00E0139B" w:rsidRPr="0097022F">
        <w:rPr>
          <w:rFonts w:cs="Arial"/>
          <w:b/>
          <w:bCs/>
        </w:rPr>
        <w:t>and</w:t>
      </w:r>
      <w:r w:rsidR="00416EFF">
        <w:rPr>
          <w:rFonts w:cs="Arial"/>
          <w:b/>
          <w:bCs/>
        </w:rPr>
        <w:br/>
      </w:r>
      <w:r w:rsidR="00E9541D" w:rsidRPr="0097022F">
        <w:rPr>
          <w:rFonts w:cs="Arial"/>
          <w:b/>
          <w:bCs/>
        </w:rPr>
        <w:t>20</w:t>
      </w:r>
      <w:r w:rsidR="00526981">
        <w:rPr>
          <w:rFonts w:cs="Arial"/>
          <w:b/>
          <w:bCs/>
        </w:rPr>
        <w:t>2</w:t>
      </w:r>
      <w:r w:rsidR="00023727">
        <w:rPr>
          <w:rFonts w:cs="Arial"/>
          <w:b/>
          <w:bCs/>
        </w:rPr>
        <w:t>1</w:t>
      </w:r>
      <w:r w:rsidR="00E9541D" w:rsidRPr="0097022F">
        <w:rPr>
          <w:rFonts w:cs="Arial"/>
          <w:b/>
          <w:bCs/>
        </w:rPr>
        <w:t>-</w:t>
      </w:r>
      <w:r w:rsidR="0084493A">
        <w:rPr>
          <w:rFonts w:cs="Arial"/>
          <w:b/>
          <w:bCs/>
        </w:rPr>
        <w:t>2</w:t>
      </w:r>
      <w:r w:rsidR="00023727">
        <w:rPr>
          <w:rFonts w:cs="Arial"/>
          <w:b/>
          <w:bCs/>
        </w:rPr>
        <w:t>2</w:t>
      </w:r>
      <w:r w:rsidR="00E9541D" w:rsidRPr="0097022F">
        <w:rPr>
          <w:rFonts w:cs="Arial"/>
          <w:b/>
          <w:bCs/>
        </w:rPr>
        <w:t xml:space="preserve"> </w:t>
      </w:r>
      <w:r w:rsidR="00E0139B" w:rsidRPr="0097022F">
        <w:rPr>
          <w:rFonts w:cs="Arial"/>
          <w:b/>
          <w:bCs/>
        </w:rPr>
        <w:t xml:space="preserve">Budget for </w:t>
      </w:r>
      <w:r w:rsidR="00AA3E93" w:rsidRPr="0097022F">
        <w:rPr>
          <w:rFonts w:cs="Arial"/>
          <w:b/>
          <w:bCs/>
        </w:rPr>
        <w:t>Consultation</w:t>
      </w:r>
      <w:r w:rsidR="00FD0234">
        <w:rPr>
          <w:rFonts w:cs="Arial"/>
          <w:b/>
          <w:bCs/>
        </w:rPr>
        <w:t>.</w:t>
      </w:r>
      <w:r w:rsidRPr="0097022F">
        <w:rPr>
          <w:rFonts w:cs="Arial"/>
          <w:b/>
          <w:bCs/>
        </w:rPr>
        <w:tab/>
      </w:r>
    </w:p>
    <w:p w:rsidR="00F4367A" w:rsidRPr="00FC3A80" w:rsidRDefault="00F4367A" w:rsidP="003A37E1">
      <w:pPr>
        <w:pStyle w:val="Heading1"/>
        <w:ind w:right="386" w:firstLine="540"/>
        <w:jc w:val="both"/>
        <w:rPr>
          <w:sz w:val="22"/>
          <w:szCs w:val="22"/>
          <w:u w:val="single"/>
        </w:rPr>
      </w:pPr>
    </w:p>
    <w:p w:rsidR="00F4367A" w:rsidRPr="0097022F" w:rsidRDefault="00F4367A" w:rsidP="00942056">
      <w:pPr>
        <w:pStyle w:val="Heading1"/>
        <w:pBdr>
          <w:top w:val="single" w:sz="4" w:space="1" w:color="auto"/>
          <w:left w:val="single" w:sz="4" w:space="0" w:color="auto"/>
          <w:bottom w:val="single" w:sz="4" w:space="1" w:color="auto"/>
          <w:right w:val="single" w:sz="4" w:space="4" w:color="auto"/>
        </w:pBdr>
        <w:ind w:right="386"/>
        <w:jc w:val="center"/>
        <w:rPr>
          <w:u w:val="single"/>
        </w:rPr>
      </w:pPr>
      <w:r w:rsidRPr="0097022F">
        <w:rPr>
          <w:u w:val="single"/>
        </w:rPr>
        <w:t>Summary and Recommendations</w:t>
      </w:r>
    </w:p>
    <w:p w:rsidR="00F4367A" w:rsidRPr="0097022F" w:rsidRDefault="00F4367A" w:rsidP="00942056">
      <w:pPr>
        <w:pBdr>
          <w:top w:val="single" w:sz="4" w:space="1" w:color="auto"/>
          <w:left w:val="single" w:sz="4" w:space="0" w:color="auto"/>
          <w:bottom w:val="single" w:sz="4" w:space="1" w:color="auto"/>
          <w:right w:val="single" w:sz="4" w:space="4" w:color="auto"/>
        </w:pBdr>
        <w:ind w:right="386"/>
        <w:jc w:val="both"/>
        <w:rPr>
          <w:rFonts w:cs="Arial"/>
        </w:rPr>
      </w:pPr>
    </w:p>
    <w:p w:rsidR="00F4367A" w:rsidRPr="0097022F" w:rsidRDefault="00F4367A" w:rsidP="00942056">
      <w:pPr>
        <w:pBdr>
          <w:top w:val="single" w:sz="4" w:space="1" w:color="auto"/>
          <w:left w:val="single" w:sz="4" w:space="0" w:color="auto"/>
          <w:bottom w:val="single" w:sz="4" w:space="1" w:color="auto"/>
          <w:right w:val="single" w:sz="4" w:space="4" w:color="auto"/>
        </w:pBdr>
        <w:ind w:right="386"/>
        <w:jc w:val="both"/>
        <w:rPr>
          <w:rFonts w:cs="Arial"/>
        </w:rPr>
      </w:pPr>
      <w:r w:rsidRPr="0097022F">
        <w:rPr>
          <w:rFonts w:cs="Arial"/>
          <w:b/>
          <w:bCs/>
        </w:rPr>
        <w:t>Purpose of report</w:t>
      </w:r>
      <w:r w:rsidRPr="0097022F">
        <w:rPr>
          <w:rFonts w:cs="Arial"/>
        </w:rPr>
        <w:t xml:space="preserve">:  </w:t>
      </w:r>
      <w:r w:rsidR="00792A7B">
        <w:rPr>
          <w:rFonts w:cs="Arial"/>
        </w:rPr>
        <w:t>To propose a Medium Term Financial Strategy and</w:t>
      </w:r>
      <w:r w:rsidR="00942056">
        <w:rPr>
          <w:rFonts w:cs="Arial"/>
        </w:rPr>
        <w:t xml:space="preserve"> </w:t>
      </w:r>
      <w:r w:rsidR="00556EE7">
        <w:rPr>
          <w:rFonts w:cs="Arial"/>
        </w:rPr>
        <w:t>the</w:t>
      </w:r>
      <w:r w:rsidR="00166E93">
        <w:rPr>
          <w:rFonts w:cs="Arial"/>
        </w:rPr>
        <w:t xml:space="preserve"> </w:t>
      </w:r>
      <w:r w:rsidR="00DB1309">
        <w:rPr>
          <w:rFonts w:cs="Arial"/>
        </w:rPr>
        <w:t>20</w:t>
      </w:r>
      <w:r w:rsidR="00526981">
        <w:rPr>
          <w:rFonts w:cs="Arial"/>
        </w:rPr>
        <w:t>2</w:t>
      </w:r>
      <w:r w:rsidR="00023727">
        <w:rPr>
          <w:rFonts w:cs="Arial"/>
        </w:rPr>
        <w:t>1</w:t>
      </w:r>
      <w:r w:rsidR="00792A7B">
        <w:rPr>
          <w:rFonts w:cs="Arial"/>
        </w:rPr>
        <w:t>/</w:t>
      </w:r>
      <w:r w:rsidR="0084493A">
        <w:rPr>
          <w:rFonts w:cs="Arial"/>
        </w:rPr>
        <w:t>2</w:t>
      </w:r>
      <w:r w:rsidR="00023727">
        <w:rPr>
          <w:rFonts w:cs="Arial"/>
        </w:rPr>
        <w:t>2</w:t>
      </w:r>
      <w:r w:rsidR="00792A7B">
        <w:rPr>
          <w:rFonts w:cs="Arial"/>
        </w:rPr>
        <w:t xml:space="preserve"> Budget for consultation</w:t>
      </w:r>
      <w:r w:rsidRPr="0097022F">
        <w:rPr>
          <w:rFonts w:cs="Arial"/>
        </w:rPr>
        <w:tab/>
      </w:r>
      <w:r w:rsidRPr="0097022F">
        <w:rPr>
          <w:rFonts w:cs="Arial"/>
        </w:rPr>
        <w:tab/>
      </w:r>
      <w:r w:rsidRPr="0097022F">
        <w:rPr>
          <w:rFonts w:cs="Arial"/>
        </w:rPr>
        <w:tab/>
      </w:r>
      <w:r w:rsidRPr="0097022F">
        <w:rPr>
          <w:rFonts w:cs="Arial"/>
        </w:rPr>
        <w:tab/>
      </w:r>
      <w:r w:rsidRPr="0097022F">
        <w:rPr>
          <w:rFonts w:cs="Arial"/>
        </w:rPr>
        <w:tab/>
      </w:r>
      <w:r w:rsidRPr="0097022F">
        <w:rPr>
          <w:rFonts w:cs="Arial"/>
        </w:rPr>
        <w:tab/>
      </w:r>
      <w:r w:rsidRPr="0097022F">
        <w:rPr>
          <w:rFonts w:cs="Arial"/>
        </w:rPr>
        <w:tab/>
      </w:r>
      <w:r w:rsidRPr="0097022F">
        <w:rPr>
          <w:rFonts w:cs="Arial"/>
        </w:rPr>
        <w:tab/>
      </w:r>
    </w:p>
    <w:p w:rsidR="00166E93" w:rsidRDefault="00166E93" w:rsidP="00942056">
      <w:pPr>
        <w:pStyle w:val="Heading1"/>
        <w:pBdr>
          <w:top w:val="single" w:sz="4" w:space="1" w:color="auto"/>
          <w:left w:val="single" w:sz="4" w:space="0" w:color="auto"/>
          <w:bottom w:val="single" w:sz="4" w:space="1" w:color="auto"/>
          <w:right w:val="single" w:sz="4" w:space="4" w:color="auto"/>
        </w:pBdr>
        <w:tabs>
          <w:tab w:val="left" w:pos="3062"/>
        </w:tabs>
        <w:ind w:right="386"/>
        <w:jc w:val="both"/>
        <w:rPr>
          <w:bCs w:val="0"/>
        </w:rPr>
      </w:pPr>
    </w:p>
    <w:p w:rsidR="00F4367A" w:rsidRPr="0097022F" w:rsidRDefault="00F4367A" w:rsidP="00942056">
      <w:pPr>
        <w:pStyle w:val="Heading1"/>
        <w:pBdr>
          <w:top w:val="single" w:sz="4" w:space="1" w:color="auto"/>
          <w:left w:val="single" w:sz="4" w:space="0" w:color="auto"/>
          <w:bottom w:val="single" w:sz="4" w:space="1" w:color="auto"/>
          <w:right w:val="single" w:sz="4" w:space="4" w:color="auto"/>
        </w:pBdr>
        <w:tabs>
          <w:tab w:val="left" w:pos="3062"/>
        </w:tabs>
        <w:ind w:right="386"/>
        <w:jc w:val="both"/>
        <w:rPr>
          <w:b w:val="0"/>
          <w:bCs w:val="0"/>
        </w:rPr>
      </w:pPr>
      <w:r w:rsidRPr="0097022F">
        <w:rPr>
          <w:bCs w:val="0"/>
        </w:rPr>
        <w:t xml:space="preserve">Key </w:t>
      </w:r>
      <w:r w:rsidR="000833D1" w:rsidRPr="0097022F">
        <w:rPr>
          <w:bCs w:val="0"/>
        </w:rPr>
        <w:t>decision</w:t>
      </w:r>
      <w:r w:rsidR="00C76527">
        <w:rPr>
          <w:bCs w:val="0"/>
        </w:rPr>
        <w:t>:</w:t>
      </w:r>
      <w:r w:rsidR="000833D1" w:rsidRPr="0097022F">
        <w:rPr>
          <w:bCs w:val="0"/>
        </w:rPr>
        <w:t xml:space="preserve"> </w:t>
      </w:r>
      <w:r w:rsidR="000833D1" w:rsidRPr="00C76527">
        <w:rPr>
          <w:b w:val="0"/>
          <w:bCs w:val="0"/>
        </w:rPr>
        <w:t>Yes</w:t>
      </w:r>
    </w:p>
    <w:p w:rsidR="00F4367A" w:rsidRPr="0097022F" w:rsidRDefault="00F4367A" w:rsidP="00942056">
      <w:pPr>
        <w:pBdr>
          <w:top w:val="single" w:sz="4" w:space="1" w:color="auto"/>
          <w:left w:val="single" w:sz="4" w:space="0" w:color="auto"/>
          <w:bottom w:val="single" w:sz="4" w:space="1" w:color="auto"/>
          <w:right w:val="single" w:sz="4" w:space="4" w:color="auto"/>
        </w:pBdr>
        <w:ind w:right="386"/>
        <w:jc w:val="both"/>
        <w:rPr>
          <w:rFonts w:cs="Arial"/>
        </w:rPr>
      </w:pPr>
    </w:p>
    <w:p w:rsidR="00F4367A" w:rsidRPr="0097022F" w:rsidRDefault="00C76527" w:rsidP="00942056">
      <w:pPr>
        <w:pBdr>
          <w:top w:val="single" w:sz="4" w:space="1" w:color="auto"/>
          <w:left w:val="single" w:sz="4" w:space="0" w:color="auto"/>
          <w:bottom w:val="single" w:sz="4" w:space="1" w:color="auto"/>
          <w:right w:val="single" w:sz="4" w:space="4" w:color="auto"/>
        </w:pBdr>
        <w:ind w:right="386"/>
        <w:jc w:val="both"/>
        <w:rPr>
          <w:rFonts w:cs="Arial"/>
          <w:bCs/>
        </w:rPr>
      </w:pPr>
      <w:r>
        <w:rPr>
          <w:rFonts w:cs="Arial"/>
          <w:b/>
          <w:bCs/>
        </w:rPr>
        <w:t xml:space="preserve">Cabinet </w:t>
      </w:r>
      <w:r w:rsidR="00F4367A" w:rsidRPr="0097022F">
        <w:rPr>
          <w:rFonts w:cs="Arial"/>
          <w:b/>
          <w:bCs/>
        </w:rPr>
        <w:t xml:space="preserve">member: </w:t>
      </w:r>
      <w:r w:rsidR="00E0139B" w:rsidRPr="0097022F">
        <w:rPr>
          <w:rFonts w:cs="Arial"/>
          <w:bCs/>
        </w:rPr>
        <w:t>Councillor Ed Turner</w:t>
      </w:r>
      <w:r>
        <w:rPr>
          <w:rFonts w:cs="Arial"/>
          <w:bCs/>
        </w:rPr>
        <w:t xml:space="preserve">, Finance &amp; Asset Management </w:t>
      </w:r>
    </w:p>
    <w:p w:rsidR="00F4367A" w:rsidRPr="0097022F" w:rsidRDefault="00F4367A" w:rsidP="00942056">
      <w:pPr>
        <w:pStyle w:val="Heading1"/>
        <w:pBdr>
          <w:top w:val="single" w:sz="4" w:space="1" w:color="auto"/>
          <w:left w:val="single" w:sz="4" w:space="0" w:color="auto"/>
          <w:bottom w:val="single" w:sz="4" w:space="1" w:color="auto"/>
          <w:right w:val="single" w:sz="4" w:space="4" w:color="auto"/>
        </w:pBdr>
        <w:ind w:right="386"/>
        <w:jc w:val="both"/>
      </w:pPr>
    </w:p>
    <w:p w:rsidR="00F4367A" w:rsidRPr="0097022F" w:rsidRDefault="00F4367A" w:rsidP="00942056">
      <w:pPr>
        <w:pBdr>
          <w:top w:val="single" w:sz="4" w:space="1" w:color="auto"/>
          <w:left w:val="single" w:sz="4" w:space="0" w:color="auto"/>
          <w:bottom w:val="single" w:sz="4" w:space="1" w:color="auto"/>
          <w:right w:val="single" w:sz="4" w:space="4" w:color="auto"/>
        </w:pBdr>
        <w:ind w:right="386"/>
        <w:jc w:val="both"/>
        <w:rPr>
          <w:rFonts w:cs="Arial"/>
          <w:bCs/>
        </w:rPr>
      </w:pPr>
      <w:r w:rsidRPr="0097022F">
        <w:rPr>
          <w:rFonts w:cs="Arial"/>
          <w:b/>
          <w:bCs/>
        </w:rPr>
        <w:t xml:space="preserve">Policy Framework: </w:t>
      </w:r>
      <w:r w:rsidR="00C76527">
        <w:rPr>
          <w:rFonts w:cs="Arial"/>
          <w:bCs/>
        </w:rPr>
        <w:t xml:space="preserve">Council Strategy 2020-24 </w:t>
      </w:r>
    </w:p>
    <w:p w:rsidR="00F4367A" w:rsidRPr="0097022F" w:rsidRDefault="00F4367A" w:rsidP="00942056">
      <w:pPr>
        <w:pStyle w:val="Heading1"/>
        <w:pBdr>
          <w:top w:val="single" w:sz="4" w:space="1" w:color="auto"/>
          <w:left w:val="single" w:sz="4" w:space="0" w:color="auto"/>
          <w:bottom w:val="single" w:sz="4" w:space="1" w:color="auto"/>
          <w:right w:val="single" w:sz="4" w:space="4" w:color="auto"/>
        </w:pBdr>
        <w:ind w:right="386"/>
        <w:jc w:val="both"/>
      </w:pPr>
    </w:p>
    <w:p w:rsidR="00B34AEA" w:rsidRPr="00C76527" w:rsidRDefault="00C76527" w:rsidP="00942056">
      <w:pPr>
        <w:pBdr>
          <w:top w:val="single" w:sz="4" w:space="1" w:color="auto"/>
          <w:left w:val="single" w:sz="4" w:space="0" w:color="auto"/>
          <w:bottom w:val="single" w:sz="4" w:space="1" w:color="auto"/>
          <w:right w:val="single" w:sz="4" w:space="4" w:color="auto"/>
        </w:pBdr>
        <w:tabs>
          <w:tab w:val="left" w:pos="3048"/>
        </w:tabs>
        <w:ind w:right="386"/>
        <w:jc w:val="both"/>
        <w:rPr>
          <w:rFonts w:cs="Arial"/>
        </w:rPr>
      </w:pPr>
      <w:r>
        <w:rPr>
          <w:rFonts w:cs="Arial"/>
          <w:b/>
        </w:rPr>
        <w:t>Recommendations</w:t>
      </w:r>
      <w:r w:rsidR="00F4367A" w:rsidRPr="0097022F">
        <w:rPr>
          <w:rFonts w:cs="Arial"/>
          <w:b/>
        </w:rPr>
        <w:t xml:space="preserve">: </w:t>
      </w:r>
      <w:r w:rsidR="00CD3973" w:rsidRPr="00C76527">
        <w:rPr>
          <w:rFonts w:cs="Arial"/>
        </w:rPr>
        <w:t>Th</w:t>
      </w:r>
      <w:r w:rsidR="00511CD4" w:rsidRPr="00C76527">
        <w:rPr>
          <w:rFonts w:cs="Arial"/>
        </w:rPr>
        <w:t>at</w:t>
      </w:r>
      <w:r w:rsidR="00CD3973" w:rsidRPr="00C76527">
        <w:rPr>
          <w:rFonts w:cs="Arial"/>
        </w:rPr>
        <w:t xml:space="preserve"> </w:t>
      </w:r>
      <w:r w:rsidR="00A041EC" w:rsidRPr="00C76527">
        <w:rPr>
          <w:rFonts w:cs="Arial"/>
        </w:rPr>
        <w:t>Cabin</w:t>
      </w:r>
      <w:r w:rsidR="00C52DEE" w:rsidRPr="00C76527">
        <w:rPr>
          <w:rFonts w:cs="Arial"/>
        </w:rPr>
        <w:t>e</w:t>
      </w:r>
      <w:r w:rsidR="00A041EC" w:rsidRPr="00C76527">
        <w:rPr>
          <w:rFonts w:cs="Arial"/>
        </w:rPr>
        <w:t>t</w:t>
      </w:r>
      <w:r w:rsidR="00CD3973" w:rsidRPr="00C76527">
        <w:rPr>
          <w:rFonts w:cs="Arial"/>
        </w:rPr>
        <w:t xml:space="preserve"> </w:t>
      </w:r>
      <w:r w:rsidR="00511CD4" w:rsidRPr="00C76527">
        <w:rPr>
          <w:rFonts w:cs="Arial"/>
        </w:rPr>
        <w:t>resolves</w:t>
      </w:r>
      <w:r w:rsidR="00CD3973" w:rsidRPr="00C76527">
        <w:rPr>
          <w:rFonts w:cs="Arial"/>
        </w:rPr>
        <w:t xml:space="preserve"> to</w:t>
      </w:r>
      <w:r w:rsidR="00694162" w:rsidRPr="00C76527">
        <w:rPr>
          <w:rFonts w:cs="Arial"/>
        </w:rPr>
        <w:t>:</w:t>
      </w:r>
    </w:p>
    <w:p w:rsidR="00694162" w:rsidRDefault="00694162" w:rsidP="00942056">
      <w:pPr>
        <w:pBdr>
          <w:top w:val="single" w:sz="4" w:space="1" w:color="auto"/>
          <w:left w:val="single" w:sz="4" w:space="0" w:color="auto"/>
          <w:bottom w:val="single" w:sz="4" w:space="1" w:color="auto"/>
          <w:right w:val="single" w:sz="4" w:space="4" w:color="auto"/>
        </w:pBdr>
        <w:tabs>
          <w:tab w:val="left" w:pos="3048"/>
        </w:tabs>
        <w:ind w:right="386"/>
        <w:jc w:val="both"/>
        <w:rPr>
          <w:rFonts w:cs="Arial"/>
          <w:b/>
        </w:rPr>
      </w:pPr>
    </w:p>
    <w:p w:rsidR="00942056" w:rsidRPr="00A71F9E" w:rsidRDefault="00A71F9E" w:rsidP="003F4A26">
      <w:pPr>
        <w:pBdr>
          <w:top w:val="single" w:sz="4" w:space="1" w:color="auto"/>
          <w:left w:val="single" w:sz="4" w:space="0" w:color="auto"/>
          <w:bottom w:val="single" w:sz="4" w:space="1" w:color="auto"/>
          <w:right w:val="single" w:sz="4" w:space="4" w:color="auto"/>
        </w:pBdr>
        <w:tabs>
          <w:tab w:val="left" w:pos="3048"/>
        </w:tabs>
        <w:ind w:left="567" w:right="386" w:hanging="567"/>
        <w:rPr>
          <w:rFonts w:cs="Arial"/>
        </w:rPr>
      </w:pPr>
      <w:r w:rsidRPr="007B3F5D">
        <w:rPr>
          <w:rFonts w:cs="Arial"/>
        </w:rPr>
        <w:t>1</w:t>
      </w:r>
      <w:r w:rsidR="00942056" w:rsidRPr="007B3F5D">
        <w:rPr>
          <w:rFonts w:cs="Arial"/>
        </w:rPr>
        <w:t>)</w:t>
      </w:r>
      <w:r w:rsidR="00942056">
        <w:rPr>
          <w:rFonts w:cs="Arial"/>
          <w:b/>
        </w:rPr>
        <w:t xml:space="preserve"> </w:t>
      </w:r>
      <w:r w:rsidR="003F4A26">
        <w:rPr>
          <w:rFonts w:cs="Arial"/>
          <w:b/>
        </w:rPr>
        <w:tab/>
      </w:r>
      <w:r w:rsidR="008E2808" w:rsidRPr="00C76527">
        <w:rPr>
          <w:rFonts w:cs="Arial"/>
          <w:b/>
        </w:rPr>
        <w:t>A</w:t>
      </w:r>
      <w:r w:rsidR="00942056" w:rsidRPr="00C76527">
        <w:rPr>
          <w:rFonts w:cs="Arial"/>
          <w:b/>
        </w:rPr>
        <w:t xml:space="preserve">pprove </w:t>
      </w:r>
      <w:r w:rsidR="00942056" w:rsidRPr="00A71F9E">
        <w:rPr>
          <w:rFonts w:cs="Arial"/>
        </w:rPr>
        <w:t xml:space="preserve">the </w:t>
      </w:r>
      <w:r w:rsidR="00DB1309">
        <w:rPr>
          <w:rFonts w:cs="Arial"/>
        </w:rPr>
        <w:t>20</w:t>
      </w:r>
      <w:r w:rsidR="00526981">
        <w:rPr>
          <w:rFonts w:cs="Arial"/>
        </w:rPr>
        <w:t>2</w:t>
      </w:r>
      <w:r w:rsidR="00023727">
        <w:rPr>
          <w:rFonts w:cs="Arial"/>
        </w:rPr>
        <w:t>1</w:t>
      </w:r>
      <w:r w:rsidR="00DB1309">
        <w:rPr>
          <w:rFonts w:cs="Arial"/>
        </w:rPr>
        <w:t>-</w:t>
      </w:r>
      <w:r w:rsidR="0084493A">
        <w:rPr>
          <w:rFonts w:cs="Arial"/>
        </w:rPr>
        <w:t>2</w:t>
      </w:r>
      <w:r w:rsidR="00023727">
        <w:rPr>
          <w:rFonts w:cs="Arial"/>
        </w:rPr>
        <w:t>2</w:t>
      </w:r>
      <w:r w:rsidRPr="00A71F9E">
        <w:rPr>
          <w:rFonts w:cs="Arial"/>
        </w:rPr>
        <w:t xml:space="preserve"> </w:t>
      </w:r>
      <w:r w:rsidR="000D3814">
        <w:rPr>
          <w:rFonts w:cs="Arial"/>
        </w:rPr>
        <w:t xml:space="preserve">General Fund and Housing Revenue Account </w:t>
      </w:r>
      <w:r w:rsidRPr="00A71F9E">
        <w:rPr>
          <w:rFonts w:cs="Arial"/>
        </w:rPr>
        <w:t>budget</w:t>
      </w:r>
      <w:r w:rsidR="000D3814">
        <w:rPr>
          <w:rFonts w:cs="Arial"/>
        </w:rPr>
        <w:t>s</w:t>
      </w:r>
      <w:r w:rsidRPr="00A71F9E">
        <w:rPr>
          <w:rFonts w:cs="Arial"/>
        </w:rPr>
        <w:t xml:space="preserve"> for consultation</w:t>
      </w:r>
      <w:r w:rsidR="003B293A">
        <w:rPr>
          <w:rFonts w:cs="Arial"/>
        </w:rPr>
        <w:t xml:space="preserve"> and</w:t>
      </w:r>
      <w:r w:rsidRPr="00A71F9E">
        <w:rPr>
          <w:rFonts w:cs="Arial"/>
        </w:rPr>
        <w:t xml:space="preserve"> the </w:t>
      </w:r>
      <w:r w:rsidR="00942056" w:rsidRPr="00A71F9E">
        <w:rPr>
          <w:rFonts w:cs="Arial"/>
        </w:rPr>
        <w:t xml:space="preserve">General Fund and </w:t>
      </w:r>
      <w:r w:rsidR="00694162">
        <w:rPr>
          <w:rFonts w:cs="Arial"/>
        </w:rPr>
        <w:t xml:space="preserve"> </w:t>
      </w:r>
      <w:r w:rsidR="00942056" w:rsidRPr="00A71F9E">
        <w:rPr>
          <w:rFonts w:cs="Arial"/>
        </w:rPr>
        <w:t>H</w:t>
      </w:r>
      <w:r w:rsidR="00694162">
        <w:rPr>
          <w:rFonts w:cs="Arial"/>
        </w:rPr>
        <w:t xml:space="preserve">ousing </w:t>
      </w:r>
      <w:r w:rsidR="00942056" w:rsidRPr="00A71F9E">
        <w:rPr>
          <w:rFonts w:cs="Arial"/>
        </w:rPr>
        <w:t>R</w:t>
      </w:r>
      <w:r w:rsidR="00694162">
        <w:rPr>
          <w:rFonts w:cs="Arial"/>
        </w:rPr>
        <w:t xml:space="preserve">evenue Account </w:t>
      </w:r>
      <w:r w:rsidR="00942056" w:rsidRPr="00A71F9E">
        <w:rPr>
          <w:rFonts w:cs="Arial"/>
        </w:rPr>
        <w:t xml:space="preserve">Medium Term Financial </w:t>
      </w:r>
      <w:r w:rsidR="00A041EC">
        <w:rPr>
          <w:rFonts w:cs="Arial"/>
        </w:rPr>
        <w:t>Strategy</w:t>
      </w:r>
      <w:r w:rsidR="00942056" w:rsidRPr="00A71F9E">
        <w:rPr>
          <w:rFonts w:cs="Arial"/>
        </w:rPr>
        <w:t xml:space="preserve"> as </w:t>
      </w:r>
      <w:r w:rsidR="000D3814">
        <w:rPr>
          <w:rFonts w:cs="Arial"/>
        </w:rPr>
        <w:t xml:space="preserve">set out in </w:t>
      </w:r>
      <w:r w:rsidR="00942056" w:rsidRPr="00A71F9E">
        <w:rPr>
          <w:rFonts w:cs="Arial"/>
        </w:rPr>
        <w:t xml:space="preserve"> Appendices 1-</w:t>
      </w:r>
      <w:r w:rsidR="00D3287B">
        <w:rPr>
          <w:rFonts w:cs="Arial"/>
        </w:rPr>
        <w:t>9</w:t>
      </w:r>
      <w:r w:rsidR="00F05A6A">
        <w:rPr>
          <w:rFonts w:cs="Arial"/>
        </w:rPr>
        <w:t xml:space="preserve">, </w:t>
      </w:r>
      <w:r w:rsidR="00942056" w:rsidRPr="00A71F9E">
        <w:rPr>
          <w:rFonts w:cs="Arial"/>
        </w:rPr>
        <w:t xml:space="preserve">noting </w:t>
      </w:r>
      <w:r w:rsidR="00AC1E36">
        <w:rPr>
          <w:rFonts w:cs="Arial"/>
        </w:rPr>
        <w:t>:</w:t>
      </w:r>
      <w:r w:rsidR="00942056" w:rsidRPr="00A71F9E">
        <w:rPr>
          <w:rFonts w:cs="Arial"/>
        </w:rPr>
        <w:br/>
      </w:r>
    </w:p>
    <w:p w:rsidR="00942056" w:rsidRPr="003932A2" w:rsidRDefault="00694162" w:rsidP="00416EFF">
      <w:pPr>
        <w:pBdr>
          <w:top w:val="single" w:sz="4" w:space="1" w:color="auto"/>
          <w:left w:val="single" w:sz="4" w:space="0" w:color="auto"/>
          <w:bottom w:val="single" w:sz="4" w:space="1" w:color="auto"/>
          <w:right w:val="single" w:sz="4" w:space="4" w:color="auto"/>
        </w:pBdr>
        <w:tabs>
          <w:tab w:val="left" w:pos="567"/>
          <w:tab w:val="left" w:pos="3048"/>
        </w:tabs>
        <w:ind w:left="851" w:right="386" w:hanging="851"/>
        <w:rPr>
          <w:rFonts w:cs="Arial"/>
        </w:rPr>
      </w:pPr>
      <w:r>
        <w:rPr>
          <w:rFonts w:cs="Arial"/>
        </w:rPr>
        <w:t xml:space="preserve">      </w:t>
      </w:r>
      <w:r w:rsidR="003F4A26">
        <w:rPr>
          <w:rFonts w:cs="Arial"/>
        </w:rPr>
        <w:tab/>
      </w:r>
      <w:r w:rsidR="00942056" w:rsidRPr="00244A22">
        <w:rPr>
          <w:rFonts w:cs="Arial"/>
        </w:rPr>
        <w:t>a</w:t>
      </w:r>
      <w:r w:rsidR="00942056" w:rsidRPr="003932A2">
        <w:rPr>
          <w:rFonts w:cs="Arial"/>
        </w:rPr>
        <w:t xml:space="preserve">) </w:t>
      </w:r>
      <w:r w:rsidR="00942056" w:rsidRPr="00E06060">
        <w:rPr>
          <w:rFonts w:cs="Arial"/>
        </w:rPr>
        <w:t>the Council’s General Fund Budget Requirement of £</w:t>
      </w:r>
      <w:r w:rsidR="00244A22" w:rsidRPr="00E06060">
        <w:rPr>
          <w:rFonts w:cs="Arial"/>
        </w:rPr>
        <w:t>2</w:t>
      </w:r>
      <w:r w:rsidR="00C42DA0" w:rsidRPr="00E06060">
        <w:rPr>
          <w:rFonts w:cs="Arial"/>
        </w:rPr>
        <w:t>3</w:t>
      </w:r>
      <w:r w:rsidR="00244A22" w:rsidRPr="00E06060">
        <w:rPr>
          <w:rFonts w:cs="Arial"/>
        </w:rPr>
        <w:t>.</w:t>
      </w:r>
      <w:r w:rsidR="00C42DA0" w:rsidRPr="00E06060">
        <w:rPr>
          <w:rFonts w:cs="Arial"/>
        </w:rPr>
        <w:t>403</w:t>
      </w:r>
      <w:r w:rsidR="00942056" w:rsidRPr="00E06060">
        <w:rPr>
          <w:rFonts w:cs="Arial"/>
        </w:rPr>
        <w:t xml:space="preserve"> million for </w:t>
      </w:r>
      <w:r w:rsidR="003F4A26" w:rsidRPr="00E06060">
        <w:rPr>
          <w:rFonts w:cs="Arial"/>
        </w:rPr>
        <w:t xml:space="preserve">  </w:t>
      </w:r>
      <w:r w:rsidR="00942056" w:rsidRPr="00E06060">
        <w:rPr>
          <w:rFonts w:cs="Arial"/>
        </w:rPr>
        <w:t>20</w:t>
      </w:r>
      <w:r w:rsidR="00E57B55" w:rsidRPr="00E06060">
        <w:rPr>
          <w:rFonts w:cs="Arial"/>
        </w:rPr>
        <w:t>2</w:t>
      </w:r>
      <w:r w:rsidR="00C42DA0" w:rsidRPr="00E06060">
        <w:rPr>
          <w:rFonts w:cs="Arial"/>
        </w:rPr>
        <w:t>1</w:t>
      </w:r>
      <w:r w:rsidR="00942056" w:rsidRPr="00E06060">
        <w:rPr>
          <w:rFonts w:cs="Arial"/>
        </w:rPr>
        <w:t>/</w:t>
      </w:r>
      <w:r w:rsidR="0084493A" w:rsidRPr="00E06060">
        <w:rPr>
          <w:rFonts w:cs="Arial"/>
        </w:rPr>
        <w:t>2</w:t>
      </w:r>
      <w:r w:rsidR="00C42DA0" w:rsidRPr="00E06060">
        <w:rPr>
          <w:rFonts w:cs="Arial"/>
        </w:rPr>
        <w:t>2</w:t>
      </w:r>
      <w:r w:rsidR="003F4A26" w:rsidRPr="00E06060">
        <w:rPr>
          <w:rFonts w:cs="Arial"/>
        </w:rPr>
        <w:t xml:space="preserve"> </w:t>
      </w:r>
      <w:r w:rsidR="00942056" w:rsidRPr="00E06060">
        <w:rPr>
          <w:rFonts w:cs="Arial"/>
        </w:rPr>
        <w:t xml:space="preserve">and an increase in the Band D Council Tax of </w:t>
      </w:r>
      <w:r w:rsidR="00E57B55" w:rsidRPr="00E06060">
        <w:rPr>
          <w:rFonts w:cs="Arial"/>
        </w:rPr>
        <w:t>1</w:t>
      </w:r>
      <w:r w:rsidR="00942056" w:rsidRPr="00E06060">
        <w:rPr>
          <w:rFonts w:cs="Arial"/>
        </w:rPr>
        <w:t>.</w:t>
      </w:r>
      <w:r w:rsidR="00A77B8D" w:rsidRPr="00E06060">
        <w:rPr>
          <w:rFonts w:cs="Arial"/>
        </w:rPr>
        <w:t>99</w:t>
      </w:r>
      <w:r w:rsidR="00942056" w:rsidRPr="00E06060">
        <w:rPr>
          <w:rFonts w:cs="Arial"/>
        </w:rPr>
        <w:t>% or £</w:t>
      </w:r>
      <w:r w:rsidR="00E57B55" w:rsidRPr="00E06060">
        <w:rPr>
          <w:rFonts w:cs="Arial"/>
        </w:rPr>
        <w:t>6.</w:t>
      </w:r>
      <w:r w:rsidR="00C42DA0" w:rsidRPr="00E06060">
        <w:rPr>
          <w:rFonts w:cs="Arial"/>
        </w:rPr>
        <w:t>25</w:t>
      </w:r>
      <w:r w:rsidR="00942056" w:rsidRPr="00E06060">
        <w:rPr>
          <w:rFonts w:cs="Arial"/>
        </w:rPr>
        <w:t xml:space="preserve"> per </w:t>
      </w:r>
      <w:r w:rsidR="00A146A5" w:rsidRPr="00E06060">
        <w:rPr>
          <w:rFonts w:cs="Arial"/>
        </w:rPr>
        <w:t>a</w:t>
      </w:r>
      <w:r w:rsidR="00942056" w:rsidRPr="00E06060">
        <w:rPr>
          <w:rFonts w:cs="Arial"/>
        </w:rPr>
        <w:t>nnum</w:t>
      </w:r>
      <w:r w:rsidR="003F4A26" w:rsidRPr="00E06060">
        <w:rPr>
          <w:rFonts w:cs="Arial"/>
        </w:rPr>
        <w:t xml:space="preserve"> </w:t>
      </w:r>
      <w:r w:rsidR="00942056" w:rsidRPr="00E06060">
        <w:rPr>
          <w:rFonts w:cs="Arial"/>
        </w:rPr>
        <w:t>representing a Band D Council Tax of £</w:t>
      </w:r>
      <w:r w:rsidR="00804695" w:rsidRPr="00E06060">
        <w:rPr>
          <w:rFonts w:cs="Arial"/>
        </w:rPr>
        <w:t>3</w:t>
      </w:r>
      <w:r w:rsidR="00C42DA0" w:rsidRPr="00E06060">
        <w:rPr>
          <w:rFonts w:cs="Arial"/>
        </w:rPr>
        <w:t>20</w:t>
      </w:r>
      <w:r w:rsidR="00804695" w:rsidRPr="00E06060">
        <w:rPr>
          <w:rFonts w:cs="Arial"/>
        </w:rPr>
        <w:t>.</w:t>
      </w:r>
      <w:r w:rsidR="00C42DA0" w:rsidRPr="00E06060">
        <w:rPr>
          <w:rFonts w:cs="Arial"/>
        </w:rPr>
        <w:t>17</w:t>
      </w:r>
      <w:r w:rsidR="00942056" w:rsidRPr="00E06060">
        <w:rPr>
          <w:rFonts w:cs="Arial"/>
        </w:rPr>
        <w:t xml:space="preserve"> per annum</w:t>
      </w:r>
      <w:r w:rsidR="009F222D" w:rsidRPr="00E06060">
        <w:rPr>
          <w:rFonts w:cs="Arial"/>
        </w:rPr>
        <w:t xml:space="preserve"> </w:t>
      </w:r>
      <w:r w:rsidR="004B3CE0" w:rsidRPr="00E06060">
        <w:rPr>
          <w:rFonts w:cs="Arial"/>
        </w:rPr>
        <w:t xml:space="preserve">subject </w:t>
      </w:r>
      <w:r w:rsidR="00C52DEE" w:rsidRPr="00E06060">
        <w:rPr>
          <w:rFonts w:cs="Arial"/>
        </w:rPr>
        <w:t xml:space="preserve">to </w:t>
      </w:r>
      <w:r w:rsidR="004B3CE0" w:rsidRPr="00E06060">
        <w:rPr>
          <w:rFonts w:cs="Arial"/>
        </w:rPr>
        <w:t xml:space="preserve">confirmation of the referendum levels contained in paragraph </w:t>
      </w:r>
      <w:r w:rsidR="00CD3E25">
        <w:rPr>
          <w:rFonts w:cs="Arial"/>
        </w:rPr>
        <w:t xml:space="preserve">9 </w:t>
      </w:r>
      <w:r w:rsidR="003B7B8D" w:rsidRPr="00E06060">
        <w:rPr>
          <w:rFonts w:cs="Arial"/>
        </w:rPr>
        <w:t>(</w:t>
      </w:r>
      <w:r w:rsidR="00CD3E25">
        <w:rPr>
          <w:rFonts w:cs="Arial"/>
        </w:rPr>
        <w:t>c</w:t>
      </w:r>
      <w:r w:rsidR="003B7B8D" w:rsidRPr="00E06060">
        <w:rPr>
          <w:rFonts w:cs="Arial"/>
        </w:rPr>
        <w:t>)</w:t>
      </w:r>
      <w:r w:rsidR="004B3CE0" w:rsidRPr="00E06060">
        <w:rPr>
          <w:rFonts w:cs="Arial"/>
        </w:rPr>
        <w:t xml:space="preserve"> </w:t>
      </w:r>
      <w:r w:rsidR="00C52DEE" w:rsidRPr="00E06060">
        <w:rPr>
          <w:rFonts w:cs="Arial"/>
        </w:rPr>
        <w:t>of the</w:t>
      </w:r>
      <w:r w:rsidR="00C52DEE" w:rsidRPr="00C42DA0">
        <w:rPr>
          <w:rFonts w:cs="Arial"/>
        </w:rPr>
        <w:t xml:space="preserve"> report </w:t>
      </w:r>
      <w:r w:rsidR="004B3CE0">
        <w:rPr>
          <w:rFonts w:cs="Arial"/>
        </w:rPr>
        <w:t xml:space="preserve"> </w:t>
      </w:r>
    </w:p>
    <w:p w:rsidR="00A71F9E" w:rsidRPr="003932A2" w:rsidRDefault="00A71F9E" w:rsidP="00416EFF">
      <w:pPr>
        <w:pBdr>
          <w:top w:val="single" w:sz="4" w:space="1" w:color="auto"/>
          <w:left w:val="single" w:sz="4" w:space="0" w:color="auto"/>
          <w:bottom w:val="single" w:sz="4" w:space="1" w:color="auto"/>
          <w:right w:val="single" w:sz="4" w:space="4" w:color="auto"/>
        </w:pBdr>
        <w:tabs>
          <w:tab w:val="left" w:pos="567"/>
          <w:tab w:val="left" w:pos="3048"/>
        </w:tabs>
        <w:ind w:right="386"/>
        <w:rPr>
          <w:rFonts w:cs="Arial"/>
        </w:rPr>
      </w:pPr>
    </w:p>
    <w:p w:rsidR="001005F5" w:rsidRDefault="00694162" w:rsidP="00416EFF">
      <w:pPr>
        <w:pBdr>
          <w:top w:val="single" w:sz="4" w:space="1" w:color="auto"/>
          <w:left w:val="single" w:sz="4" w:space="0" w:color="auto"/>
          <w:bottom w:val="single" w:sz="4" w:space="1" w:color="auto"/>
          <w:right w:val="single" w:sz="4" w:space="4" w:color="auto"/>
        </w:pBdr>
        <w:tabs>
          <w:tab w:val="left" w:pos="567"/>
        </w:tabs>
        <w:ind w:left="851" w:right="386" w:hanging="851"/>
        <w:rPr>
          <w:rFonts w:cs="Arial"/>
        </w:rPr>
      </w:pPr>
      <w:r w:rsidRPr="003932A2">
        <w:rPr>
          <w:rFonts w:cs="Arial"/>
        </w:rPr>
        <w:t xml:space="preserve">     </w:t>
      </w:r>
      <w:r w:rsidR="003F4A26" w:rsidRPr="003932A2">
        <w:rPr>
          <w:rFonts w:cs="Arial"/>
        </w:rPr>
        <w:tab/>
      </w:r>
      <w:r w:rsidR="0059228F" w:rsidRPr="00C42DA0">
        <w:rPr>
          <w:rFonts w:cs="Arial"/>
        </w:rPr>
        <w:t>b</w:t>
      </w:r>
      <w:r w:rsidR="00942056" w:rsidRPr="00C42DA0">
        <w:rPr>
          <w:rFonts w:cs="Arial"/>
        </w:rPr>
        <w:t xml:space="preserve">) </w:t>
      </w:r>
      <w:proofErr w:type="gramStart"/>
      <w:r w:rsidR="00942056" w:rsidRPr="00C42DA0">
        <w:rPr>
          <w:rFonts w:cs="Arial"/>
        </w:rPr>
        <w:t>the</w:t>
      </w:r>
      <w:proofErr w:type="gramEnd"/>
      <w:r w:rsidR="00942056" w:rsidRPr="00C42DA0">
        <w:rPr>
          <w:rFonts w:cs="Arial"/>
        </w:rPr>
        <w:t xml:space="preserve"> Housing Revenue Account budget for 20</w:t>
      </w:r>
      <w:r w:rsidR="00C52DEE" w:rsidRPr="00C42DA0">
        <w:rPr>
          <w:rFonts w:cs="Arial"/>
        </w:rPr>
        <w:t>2</w:t>
      </w:r>
      <w:r w:rsidR="00023727" w:rsidRPr="00C42DA0">
        <w:rPr>
          <w:rFonts w:cs="Arial"/>
        </w:rPr>
        <w:t>1</w:t>
      </w:r>
      <w:r w:rsidR="00942056" w:rsidRPr="00C42DA0">
        <w:rPr>
          <w:rFonts w:cs="Arial"/>
        </w:rPr>
        <w:t>/</w:t>
      </w:r>
      <w:r w:rsidR="0084493A" w:rsidRPr="00C42DA0">
        <w:rPr>
          <w:rFonts w:cs="Arial"/>
        </w:rPr>
        <w:t>2</w:t>
      </w:r>
      <w:r w:rsidR="00023727" w:rsidRPr="00C42DA0">
        <w:rPr>
          <w:rFonts w:cs="Arial"/>
        </w:rPr>
        <w:t>2</w:t>
      </w:r>
      <w:r w:rsidR="00942056" w:rsidRPr="00C42DA0">
        <w:rPr>
          <w:rFonts w:cs="Arial"/>
        </w:rPr>
        <w:t xml:space="preserve"> </w:t>
      </w:r>
      <w:r w:rsidR="001005F5" w:rsidRPr="00C42DA0">
        <w:rPr>
          <w:rFonts w:cs="Arial"/>
        </w:rPr>
        <w:t>of £4</w:t>
      </w:r>
      <w:r w:rsidR="00C42DA0" w:rsidRPr="00C42DA0">
        <w:rPr>
          <w:rFonts w:cs="Arial"/>
        </w:rPr>
        <w:t>6</w:t>
      </w:r>
      <w:r w:rsidR="001005F5" w:rsidRPr="00C42DA0">
        <w:rPr>
          <w:rFonts w:cs="Arial"/>
        </w:rPr>
        <w:t>.</w:t>
      </w:r>
      <w:r w:rsidR="00C42DA0" w:rsidRPr="00C42DA0">
        <w:rPr>
          <w:rFonts w:cs="Arial"/>
        </w:rPr>
        <w:t>649</w:t>
      </w:r>
      <w:r w:rsidR="001005F5" w:rsidRPr="00C42DA0">
        <w:rPr>
          <w:rFonts w:cs="Arial"/>
        </w:rPr>
        <w:t xml:space="preserve"> million </w:t>
      </w:r>
      <w:r w:rsidR="00942056" w:rsidRPr="00C42DA0">
        <w:rPr>
          <w:rFonts w:cs="Arial"/>
        </w:rPr>
        <w:t>and a</w:t>
      </w:r>
      <w:r w:rsidR="00832276" w:rsidRPr="00C42DA0">
        <w:rPr>
          <w:rFonts w:cs="Arial"/>
        </w:rPr>
        <w:t>n</w:t>
      </w:r>
      <w:r w:rsidR="00942056" w:rsidRPr="00C42DA0">
        <w:rPr>
          <w:rFonts w:cs="Arial"/>
        </w:rPr>
        <w:t xml:space="preserve"> </w:t>
      </w:r>
      <w:r w:rsidR="00832276" w:rsidRPr="00C42DA0">
        <w:rPr>
          <w:rFonts w:cs="Arial"/>
        </w:rPr>
        <w:t xml:space="preserve">increase </w:t>
      </w:r>
      <w:r w:rsidR="00ED5CA8" w:rsidRPr="00C42DA0">
        <w:rPr>
          <w:rFonts w:cs="Arial"/>
        </w:rPr>
        <w:t xml:space="preserve">of </w:t>
      </w:r>
      <w:r w:rsidR="00C42DA0" w:rsidRPr="00C42DA0">
        <w:rPr>
          <w:rFonts w:cs="Arial"/>
        </w:rPr>
        <w:t>1</w:t>
      </w:r>
      <w:r w:rsidR="00832276" w:rsidRPr="00C42DA0">
        <w:rPr>
          <w:rFonts w:cs="Arial"/>
        </w:rPr>
        <w:t>.</w:t>
      </w:r>
      <w:r w:rsidR="00C42DA0" w:rsidRPr="00C42DA0">
        <w:rPr>
          <w:rFonts w:cs="Arial"/>
        </w:rPr>
        <w:t>5</w:t>
      </w:r>
      <w:r w:rsidR="00832276" w:rsidRPr="00C42DA0">
        <w:rPr>
          <w:rFonts w:cs="Arial"/>
        </w:rPr>
        <w:t>0</w:t>
      </w:r>
      <w:r w:rsidR="00DE3FBB" w:rsidRPr="00C42DA0">
        <w:rPr>
          <w:rFonts w:cs="Arial"/>
        </w:rPr>
        <w:t>% (</w:t>
      </w:r>
      <w:r w:rsidR="00ED5CA8" w:rsidRPr="00C42DA0">
        <w:rPr>
          <w:rFonts w:cs="Arial"/>
        </w:rPr>
        <w:t>£</w:t>
      </w:r>
      <w:r w:rsidR="00C42DA0" w:rsidRPr="00C42DA0">
        <w:rPr>
          <w:rFonts w:cs="Arial"/>
        </w:rPr>
        <w:t>1.57</w:t>
      </w:r>
      <w:r w:rsidR="00511CD4">
        <w:rPr>
          <w:rFonts w:cs="Arial"/>
        </w:rPr>
        <w:t xml:space="preserve"> per week</w:t>
      </w:r>
      <w:r w:rsidR="00ED5CA8" w:rsidRPr="00C42DA0">
        <w:rPr>
          <w:rFonts w:cs="Arial"/>
        </w:rPr>
        <w:t xml:space="preserve">) in </w:t>
      </w:r>
      <w:r w:rsidR="001A7147" w:rsidRPr="00C42DA0">
        <w:rPr>
          <w:rFonts w:cs="Arial"/>
        </w:rPr>
        <w:t xml:space="preserve">social </w:t>
      </w:r>
      <w:r w:rsidR="00942056" w:rsidRPr="00C42DA0">
        <w:rPr>
          <w:rFonts w:cs="Arial"/>
        </w:rPr>
        <w:t>dwelling rent</w:t>
      </w:r>
      <w:r w:rsidR="001A7147" w:rsidRPr="00C42DA0">
        <w:rPr>
          <w:rFonts w:cs="Arial"/>
        </w:rPr>
        <w:t>s</w:t>
      </w:r>
      <w:r w:rsidR="00942056" w:rsidRPr="00C42DA0">
        <w:rPr>
          <w:rFonts w:cs="Arial"/>
        </w:rPr>
        <w:t xml:space="preserve"> </w:t>
      </w:r>
      <w:r w:rsidRPr="00C42DA0">
        <w:rPr>
          <w:rFonts w:cs="Arial"/>
        </w:rPr>
        <w:t>fr</w:t>
      </w:r>
      <w:r w:rsidR="005501CA" w:rsidRPr="00C42DA0">
        <w:rPr>
          <w:rFonts w:cs="Arial"/>
        </w:rPr>
        <w:t>om</w:t>
      </w:r>
      <w:r w:rsidRPr="00C42DA0">
        <w:rPr>
          <w:rFonts w:cs="Arial"/>
        </w:rPr>
        <w:t xml:space="preserve"> </w:t>
      </w:r>
      <w:r w:rsidR="00C52DEE" w:rsidRPr="00C42DA0">
        <w:rPr>
          <w:rFonts w:cs="Arial"/>
        </w:rPr>
        <w:t xml:space="preserve">1 </w:t>
      </w:r>
      <w:r w:rsidR="00DE3FBB" w:rsidRPr="00C42DA0">
        <w:rPr>
          <w:rFonts w:cs="Arial"/>
        </w:rPr>
        <w:t>April 20</w:t>
      </w:r>
      <w:r w:rsidR="00832276" w:rsidRPr="00C42DA0">
        <w:rPr>
          <w:rFonts w:cs="Arial"/>
        </w:rPr>
        <w:t>2</w:t>
      </w:r>
      <w:r w:rsidR="00C42DA0" w:rsidRPr="00C42DA0">
        <w:rPr>
          <w:rFonts w:cs="Arial"/>
        </w:rPr>
        <w:t>1</w:t>
      </w:r>
      <w:r w:rsidR="008E7C41" w:rsidRPr="00C42DA0">
        <w:rPr>
          <w:rFonts w:cs="Arial"/>
        </w:rPr>
        <w:t xml:space="preserve"> </w:t>
      </w:r>
      <w:r w:rsidR="008E2808" w:rsidRPr="00C42DA0">
        <w:rPr>
          <w:rFonts w:cs="Arial"/>
        </w:rPr>
        <w:t>giving</w:t>
      </w:r>
      <w:r w:rsidR="001A7147" w:rsidRPr="00C42DA0">
        <w:rPr>
          <w:rFonts w:cs="Arial"/>
        </w:rPr>
        <w:t xml:space="preserve"> a </w:t>
      </w:r>
      <w:r w:rsidR="00ED5CA8" w:rsidRPr="00C42DA0">
        <w:rPr>
          <w:rFonts w:cs="Arial"/>
        </w:rPr>
        <w:t xml:space="preserve">revised </w:t>
      </w:r>
      <w:r w:rsidR="001A7147" w:rsidRPr="00C42DA0">
        <w:rPr>
          <w:rFonts w:cs="Arial"/>
        </w:rPr>
        <w:t>weekly average social rent of £10</w:t>
      </w:r>
      <w:r w:rsidR="00C42DA0" w:rsidRPr="00C42DA0">
        <w:rPr>
          <w:rFonts w:cs="Arial"/>
        </w:rPr>
        <w:t>7</w:t>
      </w:r>
      <w:r w:rsidR="00942056" w:rsidRPr="00C42DA0">
        <w:rPr>
          <w:rFonts w:cs="Arial"/>
        </w:rPr>
        <w:t>.</w:t>
      </w:r>
      <w:r w:rsidR="00C42DA0" w:rsidRPr="00C42DA0">
        <w:rPr>
          <w:rFonts w:cs="Arial"/>
        </w:rPr>
        <w:t>03</w:t>
      </w:r>
      <w:r w:rsidR="00942056" w:rsidRPr="00C42DA0">
        <w:rPr>
          <w:rFonts w:cs="Arial"/>
        </w:rPr>
        <w:t xml:space="preserve"> as set out in Appendix</w:t>
      </w:r>
      <w:r w:rsidR="001005F5" w:rsidRPr="00C42DA0">
        <w:rPr>
          <w:rFonts w:cs="Arial"/>
        </w:rPr>
        <w:t xml:space="preserve"> </w:t>
      </w:r>
      <w:r w:rsidR="00C52DEE" w:rsidRPr="00C42DA0">
        <w:rPr>
          <w:rFonts w:cs="Arial"/>
        </w:rPr>
        <w:t>5</w:t>
      </w:r>
    </w:p>
    <w:p w:rsidR="00AC1E36" w:rsidRDefault="00AC1E36" w:rsidP="00416EFF">
      <w:pPr>
        <w:pBdr>
          <w:top w:val="single" w:sz="4" w:space="1" w:color="auto"/>
          <w:left w:val="single" w:sz="4" w:space="0" w:color="auto"/>
          <w:bottom w:val="single" w:sz="4" w:space="1" w:color="auto"/>
          <w:right w:val="single" w:sz="4" w:space="4" w:color="auto"/>
        </w:pBdr>
        <w:tabs>
          <w:tab w:val="left" w:pos="567"/>
          <w:tab w:val="left" w:pos="3048"/>
        </w:tabs>
        <w:ind w:left="709" w:right="386" w:hanging="709"/>
        <w:rPr>
          <w:rFonts w:cs="Arial"/>
        </w:rPr>
      </w:pPr>
    </w:p>
    <w:p w:rsidR="00AC1E36" w:rsidRDefault="00AC1E36" w:rsidP="00416EFF">
      <w:pPr>
        <w:pBdr>
          <w:top w:val="single" w:sz="4" w:space="1" w:color="auto"/>
          <w:left w:val="single" w:sz="4" w:space="0" w:color="auto"/>
          <w:bottom w:val="single" w:sz="4" w:space="1" w:color="auto"/>
          <w:right w:val="single" w:sz="4" w:space="4" w:color="auto"/>
        </w:pBdr>
        <w:tabs>
          <w:tab w:val="left" w:pos="567"/>
          <w:tab w:val="left" w:pos="3048"/>
        </w:tabs>
        <w:ind w:left="851" w:right="386" w:hanging="851"/>
        <w:rPr>
          <w:rFonts w:cs="Arial"/>
        </w:rPr>
      </w:pPr>
      <w:r>
        <w:rPr>
          <w:rFonts w:cs="Arial"/>
        </w:rPr>
        <w:tab/>
      </w:r>
      <w:r w:rsidR="0059228F">
        <w:rPr>
          <w:rFonts w:cs="Arial"/>
        </w:rPr>
        <w:t>c</w:t>
      </w:r>
      <w:r>
        <w:rPr>
          <w:rFonts w:cs="Arial"/>
        </w:rPr>
        <w:t>)</w:t>
      </w:r>
      <w:r w:rsidR="0059228F">
        <w:rPr>
          <w:rFonts w:cs="Arial"/>
        </w:rPr>
        <w:t xml:space="preserve"> </w:t>
      </w:r>
      <w:r w:rsidR="00416EFF">
        <w:rPr>
          <w:rFonts w:cs="Arial"/>
        </w:rPr>
        <w:t xml:space="preserve"> </w:t>
      </w:r>
      <w:proofErr w:type="gramStart"/>
      <w:r>
        <w:rPr>
          <w:rFonts w:cs="Arial"/>
        </w:rPr>
        <w:t>the</w:t>
      </w:r>
      <w:proofErr w:type="gramEnd"/>
      <w:r>
        <w:rPr>
          <w:rFonts w:cs="Arial"/>
        </w:rPr>
        <w:t xml:space="preserve"> General Fund</w:t>
      </w:r>
      <w:r w:rsidR="00556EE7">
        <w:rPr>
          <w:rFonts w:cs="Arial"/>
        </w:rPr>
        <w:t xml:space="preserve"> </w:t>
      </w:r>
      <w:r>
        <w:rPr>
          <w:rFonts w:cs="Arial"/>
        </w:rPr>
        <w:t>and Housing Revenue Account Capital Programme as shown i</w:t>
      </w:r>
      <w:r w:rsidR="0059228F">
        <w:rPr>
          <w:rFonts w:cs="Arial"/>
        </w:rPr>
        <w:t>n</w:t>
      </w:r>
      <w:r>
        <w:rPr>
          <w:rFonts w:cs="Arial"/>
        </w:rPr>
        <w:t xml:space="preserve"> Appendix </w:t>
      </w:r>
      <w:r w:rsidR="00E70508">
        <w:rPr>
          <w:rFonts w:cs="Arial"/>
        </w:rPr>
        <w:t>6</w:t>
      </w:r>
      <w:r>
        <w:rPr>
          <w:rFonts w:cs="Arial"/>
        </w:rPr>
        <w:t>.</w:t>
      </w:r>
    </w:p>
    <w:p w:rsidR="001005F5" w:rsidRDefault="001005F5" w:rsidP="007B3F5D">
      <w:pPr>
        <w:pBdr>
          <w:top w:val="single" w:sz="4" w:space="1" w:color="auto"/>
          <w:left w:val="single" w:sz="4" w:space="0" w:color="auto"/>
          <w:bottom w:val="single" w:sz="4" w:space="1" w:color="auto"/>
          <w:right w:val="single" w:sz="4" w:space="4" w:color="auto"/>
        </w:pBdr>
        <w:tabs>
          <w:tab w:val="left" w:pos="3048"/>
        </w:tabs>
        <w:ind w:left="709" w:right="386" w:hanging="709"/>
        <w:rPr>
          <w:rFonts w:cs="Arial"/>
        </w:rPr>
      </w:pPr>
    </w:p>
    <w:p w:rsidR="00AB541D" w:rsidRDefault="008E2808" w:rsidP="00A22A47">
      <w:pPr>
        <w:pBdr>
          <w:top w:val="single" w:sz="4" w:space="1" w:color="auto"/>
          <w:left w:val="single" w:sz="4" w:space="0" w:color="auto"/>
          <w:bottom w:val="single" w:sz="4" w:space="1" w:color="auto"/>
          <w:right w:val="single" w:sz="4" w:space="4" w:color="auto"/>
        </w:pBdr>
        <w:tabs>
          <w:tab w:val="left" w:pos="3048"/>
        </w:tabs>
        <w:ind w:left="709" w:right="386" w:hanging="709"/>
        <w:rPr>
          <w:rFonts w:cs="Arial"/>
        </w:rPr>
      </w:pPr>
      <w:r>
        <w:rPr>
          <w:rFonts w:cs="Arial"/>
        </w:rPr>
        <w:t xml:space="preserve">2) </w:t>
      </w:r>
      <w:r w:rsidR="00957544">
        <w:rPr>
          <w:rFonts w:cs="Arial"/>
        </w:rPr>
        <w:t xml:space="preserve">   </w:t>
      </w:r>
      <w:r w:rsidRPr="00C76527">
        <w:rPr>
          <w:rFonts w:cs="Arial"/>
          <w:b/>
        </w:rPr>
        <w:t>A</w:t>
      </w:r>
      <w:r w:rsidR="00334403" w:rsidRPr="00C76527">
        <w:rPr>
          <w:rFonts w:cs="Arial"/>
          <w:b/>
        </w:rPr>
        <w:t xml:space="preserve">gree </w:t>
      </w:r>
      <w:r w:rsidR="00334403">
        <w:rPr>
          <w:rFonts w:cs="Arial"/>
        </w:rPr>
        <w:t xml:space="preserve">the fees and charges shown in </w:t>
      </w:r>
      <w:r w:rsidR="00334403" w:rsidRPr="0059228F">
        <w:rPr>
          <w:rFonts w:cs="Arial"/>
        </w:rPr>
        <w:t xml:space="preserve">Appendix </w:t>
      </w:r>
      <w:r w:rsidR="0059228F" w:rsidRPr="0059228F">
        <w:rPr>
          <w:rFonts w:cs="Arial"/>
        </w:rPr>
        <w:t>7</w:t>
      </w:r>
      <w:r w:rsidR="00C76527">
        <w:rPr>
          <w:rFonts w:cs="Arial"/>
        </w:rPr>
        <w:t>;</w:t>
      </w:r>
    </w:p>
    <w:p w:rsidR="00526741" w:rsidRDefault="00526741" w:rsidP="00A22A47">
      <w:pPr>
        <w:pBdr>
          <w:top w:val="single" w:sz="4" w:space="1" w:color="auto"/>
          <w:left w:val="single" w:sz="4" w:space="0" w:color="auto"/>
          <w:bottom w:val="single" w:sz="4" w:space="1" w:color="auto"/>
          <w:right w:val="single" w:sz="4" w:space="4" w:color="auto"/>
        </w:pBdr>
        <w:tabs>
          <w:tab w:val="left" w:pos="3048"/>
        </w:tabs>
        <w:ind w:left="709" w:right="386" w:hanging="709"/>
        <w:rPr>
          <w:rFonts w:cs="Arial"/>
        </w:rPr>
      </w:pPr>
    </w:p>
    <w:p w:rsidR="00023727" w:rsidRDefault="00526741" w:rsidP="00526741">
      <w:pPr>
        <w:pBdr>
          <w:top w:val="single" w:sz="4" w:space="1" w:color="auto"/>
          <w:left w:val="single" w:sz="4" w:space="0" w:color="auto"/>
          <w:bottom w:val="single" w:sz="4" w:space="1" w:color="auto"/>
          <w:right w:val="single" w:sz="4" w:space="4" w:color="auto"/>
        </w:pBdr>
        <w:tabs>
          <w:tab w:val="left" w:pos="3048"/>
        </w:tabs>
        <w:ind w:left="426" w:right="386" w:hanging="426"/>
        <w:rPr>
          <w:rFonts w:cs="Arial"/>
        </w:rPr>
      </w:pPr>
      <w:r>
        <w:rPr>
          <w:rFonts w:cs="Arial"/>
        </w:rPr>
        <w:lastRenderedPageBreak/>
        <w:t>3</w:t>
      </w:r>
      <w:r w:rsidRPr="00C76527">
        <w:rPr>
          <w:rFonts w:cs="Arial"/>
          <w:b/>
        </w:rPr>
        <w:t xml:space="preserve">)   </w:t>
      </w:r>
      <w:r w:rsidR="0084493A" w:rsidRPr="00C76527">
        <w:rPr>
          <w:rFonts w:cs="Arial"/>
          <w:b/>
        </w:rPr>
        <w:t>Delegate to the Section 151 Officer</w:t>
      </w:r>
      <w:r w:rsidR="0084493A">
        <w:rPr>
          <w:rFonts w:cs="Arial"/>
        </w:rPr>
        <w:t xml:space="preserve"> in consultation with the Board Member for</w:t>
      </w:r>
      <w:r w:rsidR="0084493A">
        <w:rPr>
          <w:rFonts w:cs="Arial"/>
        </w:rPr>
        <w:br/>
        <w:t xml:space="preserve">Finance and Assets the decision to determine whether it is financially advantageous for the </w:t>
      </w:r>
      <w:r w:rsidR="0084493A" w:rsidRPr="009A1CA5">
        <w:rPr>
          <w:rFonts w:cs="Arial"/>
        </w:rPr>
        <w:t xml:space="preserve">Council to enter into a Business Rates Distribution Agreement </w:t>
      </w:r>
      <w:r w:rsidR="0084493A" w:rsidRPr="00CD6E68">
        <w:rPr>
          <w:rFonts w:cs="Arial"/>
        </w:rPr>
        <w:t xml:space="preserve">as referred to in paragraphs </w:t>
      </w:r>
      <w:r w:rsidR="009F222D" w:rsidRPr="00CD6E68">
        <w:rPr>
          <w:rFonts w:cs="Arial"/>
        </w:rPr>
        <w:t>3</w:t>
      </w:r>
      <w:r w:rsidR="00597C03">
        <w:rPr>
          <w:rFonts w:cs="Arial"/>
        </w:rPr>
        <w:t>2</w:t>
      </w:r>
      <w:r w:rsidR="0084493A" w:rsidRPr="00CD6E68">
        <w:rPr>
          <w:rFonts w:cs="Arial"/>
        </w:rPr>
        <w:t>-</w:t>
      </w:r>
      <w:r w:rsidR="007B5642" w:rsidRPr="00CD6E68">
        <w:rPr>
          <w:rFonts w:cs="Arial"/>
        </w:rPr>
        <w:t>3</w:t>
      </w:r>
      <w:r w:rsidR="00597C03">
        <w:rPr>
          <w:rFonts w:cs="Arial"/>
        </w:rPr>
        <w:t>3</w:t>
      </w:r>
      <w:r w:rsidR="0084493A" w:rsidRPr="00CD6E68">
        <w:rPr>
          <w:rFonts w:cs="Arial"/>
        </w:rPr>
        <w:t xml:space="preserve"> </w:t>
      </w:r>
      <w:r w:rsidR="00511CD4">
        <w:rPr>
          <w:rFonts w:cs="Arial"/>
        </w:rPr>
        <w:t>of the report</w:t>
      </w:r>
      <w:r w:rsidR="00C76527">
        <w:rPr>
          <w:rFonts w:cs="Arial"/>
        </w:rPr>
        <w:t>;</w:t>
      </w:r>
    </w:p>
    <w:p w:rsidR="00023727" w:rsidRDefault="00023727" w:rsidP="00526741">
      <w:pPr>
        <w:pBdr>
          <w:top w:val="single" w:sz="4" w:space="1" w:color="auto"/>
          <w:left w:val="single" w:sz="4" w:space="0" w:color="auto"/>
          <w:bottom w:val="single" w:sz="4" w:space="1" w:color="auto"/>
          <w:right w:val="single" w:sz="4" w:space="4" w:color="auto"/>
        </w:pBdr>
        <w:tabs>
          <w:tab w:val="left" w:pos="3048"/>
        </w:tabs>
        <w:ind w:left="426" w:right="386" w:hanging="426"/>
        <w:rPr>
          <w:rFonts w:cs="Arial"/>
        </w:rPr>
      </w:pPr>
    </w:p>
    <w:p w:rsidR="00F72CCB" w:rsidRDefault="00023727" w:rsidP="00526741">
      <w:pPr>
        <w:pBdr>
          <w:top w:val="single" w:sz="4" w:space="1" w:color="auto"/>
          <w:left w:val="single" w:sz="4" w:space="0" w:color="auto"/>
          <w:bottom w:val="single" w:sz="4" w:space="1" w:color="auto"/>
          <w:right w:val="single" w:sz="4" w:space="4" w:color="auto"/>
        </w:pBdr>
        <w:tabs>
          <w:tab w:val="left" w:pos="3048"/>
        </w:tabs>
        <w:ind w:left="426" w:right="386" w:hanging="426"/>
        <w:rPr>
          <w:rFonts w:cs="Arial"/>
        </w:rPr>
      </w:pPr>
      <w:r>
        <w:rPr>
          <w:rFonts w:cs="Arial"/>
        </w:rPr>
        <w:t>4)</w:t>
      </w:r>
      <w:r w:rsidR="00C76527">
        <w:rPr>
          <w:rFonts w:cs="Arial"/>
        </w:rPr>
        <w:t xml:space="preserve"> </w:t>
      </w:r>
      <w:r w:rsidR="00C76527">
        <w:rPr>
          <w:rFonts w:cs="Arial"/>
        </w:rPr>
        <w:tab/>
      </w:r>
      <w:r w:rsidR="00F72CCB">
        <w:rPr>
          <w:rFonts w:cs="Arial"/>
        </w:rPr>
        <w:t xml:space="preserve"> </w:t>
      </w:r>
      <w:r w:rsidR="00C76527" w:rsidRPr="00C76527">
        <w:rPr>
          <w:rFonts w:cs="Arial"/>
          <w:b/>
        </w:rPr>
        <w:t>A</w:t>
      </w:r>
      <w:r w:rsidR="00F72CCB" w:rsidRPr="00C76527">
        <w:rPr>
          <w:rFonts w:cs="Arial"/>
          <w:b/>
        </w:rPr>
        <w:t>pprove</w:t>
      </w:r>
      <w:r w:rsidR="00F72CCB" w:rsidRPr="00CD6E68">
        <w:rPr>
          <w:rFonts w:cs="Arial"/>
        </w:rPr>
        <w:t xml:space="preserve"> the payment into the County Council Pension Fund of £5 million </w:t>
      </w:r>
      <w:r w:rsidR="0035713C" w:rsidRPr="00CD6E68">
        <w:rPr>
          <w:rFonts w:cs="Arial"/>
        </w:rPr>
        <w:t xml:space="preserve">in 2023-24 </w:t>
      </w:r>
      <w:r w:rsidR="00F72CCB" w:rsidRPr="00CD6E68">
        <w:rPr>
          <w:rFonts w:cs="Arial"/>
        </w:rPr>
        <w:t xml:space="preserve">as referred to in paragraph </w:t>
      </w:r>
      <w:r w:rsidR="00183CF4" w:rsidRPr="00CD6E68">
        <w:rPr>
          <w:rFonts w:cs="Arial"/>
        </w:rPr>
        <w:t>4</w:t>
      </w:r>
      <w:r w:rsidR="00597C03">
        <w:rPr>
          <w:rFonts w:cs="Arial"/>
        </w:rPr>
        <w:t>0</w:t>
      </w:r>
      <w:r w:rsidR="00511CD4">
        <w:rPr>
          <w:rFonts w:cs="Arial"/>
        </w:rPr>
        <w:t xml:space="preserve"> of the report</w:t>
      </w:r>
      <w:r w:rsidR="00C76527">
        <w:rPr>
          <w:rFonts w:cs="Arial"/>
        </w:rPr>
        <w:t>; and</w:t>
      </w:r>
    </w:p>
    <w:p w:rsidR="00E40B08" w:rsidRDefault="00E40B08" w:rsidP="00526741">
      <w:pPr>
        <w:pBdr>
          <w:top w:val="single" w:sz="4" w:space="1" w:color="auto"/>
          <w:left w:val="single" w:sz="4" w:space="0" w:color="auto"/>
          <w:bottom w:val="single" w:sz="4" w:space="1" w:color="auto"/>
          <w:right w:val="single" w:sz="4" w:space="4" w:color="auto"/>
        </w:pBdr>
        <w:tabs>
          <w:tab w:val="left" w:pos="3048"/>
        </w:tabs>
        <w:ind w:left="426" w:right="386" w:hanging="426"/>
        <w:rPr>
          <w:rFonts w:cs="Arial"/>
        </w:rPr>
      </w:pPr>
    </w:p>
    <w:p w:rsidR="00E40B08" w:rsidRDefault="00E40B08" w:rsidP="00526741">
      <w:pPr>
        <w:pBdr>
          <w:top w:val="single" w:sz="4" w:space="1" w:color="auto"/>
          <w:left w:val="single" w:sz="4" w:space="0" w:color="auto"/>
          <w:bottom w:val="single" w:sz="4" w:space="1" w:color="auto"/>
          <w:right w:val="single" w:sz="4" w:space="4" w:color="auto"/>
        </w:pBdr>
        <w:tabs>
          <w:tab w:val="left" w:pos="3048"/>
        </w:tabs>
        <w:ind w:left="426" w:right="386" w:hanging="426"/>
        <w:rPr>
          <w:rFonts w:cs="Arial"/>
        </w:rPr>
      </w:pPr>
      <w:r w:rsidRPr="00CD6E68">
        <w:rPr>
          <w:rFonts w:cs="Arial"/>
        </w:rPr>
        <w:t>5</w:t>
      </w:r>
      <w:r w:rsidR="00FD7457" w:rsidRPr="00CD6E68">
        <w:rPr>
          <w:rFonts w:cs="Arial"/>
        </w:rPr>
        <w:t xml:space="preserve">)   </w:t>
      </w:r>
      <w:proofErr w:type="spellStart"/>
      <w:r w:rsidR="00FD7457" w:rsidRPr="00C76527">
        <w:rPr>
          <w:rFonts w:cs="Arial"/>
          <w:b/>
        </w:rPr>
        <w:t>Unpause</w:t>
      </w:r>
      <w:proofErr w:type="spellEnd"/>
      <w:r w:rsidR="00FD7457" w:rsidRPr="00CD6E68">
        <w:rPr>
          <w:rFonts w:cs="Arial"/>
        </w:rPr>
        <w:t xml:space="preserve"> capital schemes and items of revenue spend previously paused as </w:t>
      </w:r>
      <w:r w:rsidR="00511CD4">
        <w:rPr>
          <w:rFonts w:cs="Arial"/>
        </w:rPr>
        <w:t xml:space="preserve">referred to in </w:t>
      </w:r>
      <w:r w:rsidR="00FD7457" w:rsidRPr="00CD6E68">
        <w:rPr>
          <w:rFonts w:cs="Arial"/>
        </w:rPr>
        <w:t>paragraphs 5</w:t>
      </w:r>
      <w:r w:rsidR="00597C03">
        <w:rPr>
          <w:rFonts w:cs="Arial"/>
        </w:rPr>
        <w:t>5</w:t>
      </w:r>
      <w:r w:rsidR="00FD7457" w:rsidRPr="00CD6E68">
        <w:rPr>
          <w:rFonts w:cs="Arial"/>
        </w:rPr>
        <w:t xml:space="preserve"> and </w:t>
      </w:r>
      <w:r w:rsidR="00183CF4" w:rsidRPr="00CD6E68">
        <w:rPr>
          <w:rFonts w:cs="Arial"/>
        </w:rPr>
        <w:t>9</w:t>
      </w:r>
      <w:r w:rsidR="00597C03">
        <w:rPr>
          <w:rFonts w:cs="Arial"/>
        </w:rPr>
        <w:t>4</w:t>
      </w:r>
      <w:r w:rsidR="00511CD4">
        <w:rPr>
          <w:rFonts w:cs="Arial"/>
        </w:rPr>
        <w:t xml:space="preserve"> of the report</w:t>
      </w:r>
    </w:p>
    <w:p w:rsidR="001D04DF" w:rsidRDefault="001D04DF" w:rsidP="00526741">
      <w:pPr>
        <w:pBdr>
          <w:top w:val="single" w:sz="4" w:space="1" w:color="auto"/>
          <w:left w:val="single" w:sz="4" w:space="0" w:color="auto"/>
          <w:bottom w:val="single" w:sz="4" w:space="1" w:color="auto"/>
          <w:right w:val="single" w:sz="4" w:space="4" w:color="auto"/>
        </w:pBdr>
        <w:tabs>
          <w:tab w:val="left" w:pos="3048"/>
        </w:tabs>
        <w:ind w:left="426" w:right="386" w:hanging="426"/>
        <w:rPr>
          <w:rFonts w:cs="Arial"/>
        </w:rPr>
      </w:pPr>
    </w:p>
    <w:p w:rsidR="003A37E1" w:rsidRDefault="003A37E1" w:rsidP="007A3B37">
      <w:pPr>
        <w:ind w:right="386" w:firstLine="720"/>
        <w:jc w:val="both"/>
        <w:rPr>
          <w:b/>
        </w:rPr>
      </w:pPr>
    </w:p>
    <w:p w:rsidR="0000772B" w:rsidRDefault="0000772B" w:rsidP="007A3B37">
      <w:pPr>
        <w:ind w:right="386" w:firstLine="720"/>
        <w:jc w:val="both"/>
        <w:rPr>
          <w:b/>
        </w:rPr>
      </w:pPr>
    </w:p>
    <w:p w:rsidR="007A3B37" w:rsidRPr="0097022F" w:rsidRDefault="003C3043" w:rsidP="00942056">
      <w:pPr>
        <w:tabs>
          <w:tab w:val="left" w:pos="567"/>
        </w:tabs>
        <w:ind w:left="567" w:right="386" w:hanging="567"/>
        <w:jc w:val="both"/>
        <w:rPr>
          <w:b/>
        </w:rPr>
      </w:pPr>
      <w:r>
        <w:rPr>
          <w:b/>
        </w:rPr>
        <w:t>Appendices to the report</w:t>
      </w:r>
    </w:p>
    <w:p w:rsidR="005C72B1" w:rsidRPr="0097022F" w:rsidRDefault="005C72B1" w:rsidP="00942056">
      <w:pPr>
        <w:tabs>
          <w:tab w:val="left" w:pos="567"/>
        </w:tabs>
        <w:ind w:left="567" w:right="386" w:hanging="567"/>
        <w:jc w:val="both"/>
      </w:pPr>
      <w:r w:rsidRPr="0097022F">
        <w:t xml:space="preserve">Appendix 1 </w:t>
      </w:r>
      <w:r>
        <w:tab/>
        <w:t xml:space="preserve">Summary of </w:t>
      </w:r>
      <w:r w:rsidR="00B43878">
        <w:t xml:space="preserve">General Fund </w:t>
      </w:r>
      <w:r w:rsidR="00673530">
        <w:t xml:space="preserve">Budget </w:t>
      </w:r>
      <w:r w:rsidR="00673530" w:rsidRPr="0097022F">
        <w:t>by</w:t>
      </w:r>
      <w:r>
        <w:t xml:space="preserve"> Service</w:t>
      </w:r>
      <w:r w:rsidRPr="0097022F">
        <w:t xml:space="preserve"> </w:t>
      </w:r>
      <w:r>
        <w:t>20</w:t>
      </w:r>
      <w:r w:rsidR="006B1BD8">
        <w:t>2</w:t>
      </w:r>
      <w:r w:rsidR="00023727">
        <w:t>1</w:t>
      </w:r>
      <w:r>
        <w:t>-</w:t>
      </w:r>
      <w:r w:rsidR="0084493A">
        <w:t>2</w:t>
      </w:r>
      <w:r w:rsidR="00023727">
        <w:t>2</w:t>
      </w:r>
      <w:r>
        <w:t xml:space="preserve"> to 20</w:t>
      </w:r>
      <w:r w:rsidR="002C2483">
        <w:t>2</w:t>
      </w:r>
      <w:r w:rsidR="00023727">
        <w:t>4</w:t>
      </w:r>
      <w:r>
        <w:t>-</w:t>
      </w:r>
      <w:r w:rsidR="005501CA">
        <w:t>2</w:t>
      </w:r>
      <w:r w:rsidR="00023727">
        <w:t>5</w:t>
      </w:r>
    </w:p>
    <w:p w:rsidR="005C72B1" w:rsidRPr="0097022F" w:rsidRDefault="005C72B1" w:rsidP="00942056">
      <w:pPr>
        <w:tabs>
          <w:tab w:val="left" w:pos="567"/>
        </w:tabs>
        <w:ind w:left="567" w:right="386" w:hanging="567"/>
        <w:jc w:val="both"/>
      </w:pPr>
      <w:r w:rsidRPr="0097022F">
        <w:t xml:space="preserve">Appendix 2 </w:t>
      </w:r>
      <w:r w:rsidR="00B43878">
        <w:tab/>
      </w:r>
      <w:r w:rsidRPr="0097022F">
        <w:t xml:space="preserve">General Fund Revenue Budget </w:t>
      </w:r>
      <w:r>
        <w:t>by Service</w:t>
      </w:r>
      <w:r w:rsidRPr="0097022F">
        <w:t xml:space="preserve"> 20</w:t>
      </w:r>
      <w:r w:rsidR="006B1BD8">
        <w:t>2</w:t>
      </w:r>
      <w:r w:rsidR="00023727">
        <w:t>1</w:t>
      </w:r>
      <w:r w:rsidRPr="0097022F">
        <w:t>-</w:t>
      </w:r>
      <w:r w:rsidR="0084493A">
        <w:t>2</w:t>
      </w:r>
      <w:r w:rsidR="00023727">
        <w:t>2</w:t>
      </w:r>
      <w:r w:rsidRPr="0097022F">
        <w:t xml:space="preserve"> to 20</w:t>
      </w:r>
      <w:r w:rsidR="002C2483">
        <w:t>2</w:t>
      </w:r>
      <w:r w:rsidR="00023727">
        <w:t>4</w:t>
      </w:r>
      <w:r w:rsidRPr="0097022F">
        <w:t>-</w:t>
      </w:r>
      <w:r w:rsidR="005501CA">
        <w:t>2</w:t>
      </w:r>
      <w:r w:rsidR="00023727">
        <w:t>5</w:t>
      </w:r>
    </w:p>
    <w:p w:rsidR="005C72B1" w:rsidRDefault="005C72B1" w:rsidP="00942056">
      <w:pPr>
        <w:tabs>
          <w:tab w:val="left" w:pos="567"/>
        </w:tabs>
        <w:ind w:left="567" w:right="386" w:hanging="567"/>
        <w:jc w:val="both"/>
      </w:pPr>
      <w:r w:rsidRPr="0097022F">
        <w:t xml:space="preserve">Appendix 3 </w:t>
      </w:r>
      <w:r>
        <w:tab/>
        <w:t xml:space="preserve">Detailed </w:t>
      </w:r>
      <w:r w:rsidR="00F918BD">
        <w:t xml:space="preserve">General Fund </w:t>
      </w:r>
      <w:r w:rsidR="00673090">
        <w:t xml:space="preserve">and HRA </w:t>
      </w:r>
      <w:r>
        <w:t>Service Budgets</w:t>
      </w:r>
      <w:r w:rsidRPr="0097022F">
        <w:t xml:space="preserve"> 20</w:t>
      </w:r>
      <w:r w:rsidR="006B1BD8">
        <w:t>2</w:t>
      </w:r>
      <w:r w:rsidR="00023727">
        <w:t>1</w:t>
      </w:r>
      <w:r w:rsidRPr="0097022F">
        <w:t>-</w:t>
      </w:r>
      <w:r w:rsidR="0084493A">
        <w:t>2</w:t>
      </w:r>
      <w:r w:rsidR="00023727">
        <w:t>2</w:t>
      </w:r>
      <w:r w:rsidR="002C2483">
        <w:t xml:space="preserve"> </w:t>
      </w:r>
      <w:r w:rsidRPr="0097022F">
        <w:t>to 20</w:t>
      </w:r>
      <w:r w:rsidR="002C2483">
        <w:t>2</w:t>
      </w:r>
      <w:r w:rsidR="00023727">
        <w:t>4</w:t>
      </w:r>
      <w:r w:rsidRPr="0097022F">
        <w:t>-</w:t>
      </w:r>
      <w:r w:rsidR="005501CA">
        <w:t>2</w:t>
      </w:r>
      <w:r w:rsidR="00023727">
        <w:t>5</w:t>
      </w:r>
    </w:p>
    <w:p w:rsidR="00673530" w:rsidRDefault="005C72B1" w:rsidP="00942056">
      <w:pPr>
        <w:tabs>
          <w:tab w:val="left" w:pos="567"/>
        </w:tabs>
        <w:ind w:left="567" w:right="386" w:hanging="567"/>
        <w:jc w:val="both"/>
      </w:pPr>
      <w:r w:rsidRPr="0097022F">
        <w:t xml:space="preserve">Appendix </w:t>
      </w:r>
      <w:r w:rsidR="007E18CF">
        <w:t>4</w:t>
      </w:r>
      <w:r w:rsidRPr="0097022F">
        <w:t xml:space="preserve"> </w:t>
      </w:r>
      <w:r>
        <w:tab/>
      </w:r>
      <w:r w:rsidRPr="0097022F">
        <w:t xml:space="preserve">Housing Revenue Account Budget </w:t>
      </w:r>
      <w:r w:rsidR="00673530">
        <w:t>20</w:t>
      </w:r>
      <w:r w:rsidR="006B1BD8">
        <w:t>2</w:t>
      </w:r>
      <w:r w:rsidR="00023727">
        <w:t>1</w:t>
      </w:r>
      <w:r w:rsidR="00673530">
        <w:t>-</w:t>
      </w:r>
      <w:r w:rsidR="0084493A">
        <w:t>2</w:t>
      </w:r>
      <w:r w:rsidR="00023727">
        <w:t>2</w:t>
      </w:r>
      <w:r w:rsidR="00673530">
        <w:t xml:space="preserve"> to 20</w:t>
      </w:r>
      <w:r w:rsidR="002C2483">
        <w:t>2</w:t>
      </w:r>
      <w:r w:rsidR="00023727">
        <w:t>4</w:t>
      </w:r>
      <w:r w:rsidR="00673530">
        <w:t>-</w:t>
      </w:r>
      <w:r w:rsidR="00F918BD">
        <w:t>2</w:t>
      </w:r>
      <w:r w:rsidR="00023727">
        <w:t>5</w:t>
      </w:r>
    </w:p>
    <w:p w:rsidR="00865143" w:rsidRPr="0097022F" w:rsidRDefault="00B43878" w:rsidP="00942056">
      <w:pPr>
        <w:tabs>
          <w:tab w:val="left" w:pos="567"/>
        </w:tabs>
        <w:ind w:left="567" w:right="386" w:hanging="567"/>
        <w:jc w:val="both"/>
      </w:pPr>
      <w:r>
        <w:t xml:space="preserve">Appendix </w:t>
      </w:r>
      <w:r w:rsidR="007E18CF">
        <w:t>5</w:t>
      </w:r>
      <w:r w:rsidR="00865143">
        <w:t xml:space="preserve">  </w:t>
      </w:r>
      <w:r w:rsidR="00F918BD">
        <w:tab/>
      </w:r>
      <w:r w:rsidR="0041253D">
        <w:t>Council House Rents By Estate</w:t>
      </w:r>
      <w:r w:rsidR="00865143" w:rsidRPr="00865143">
        <w:t xml:space="preserve"> </w:t>
      </w:r>
    </w:p>
    <w:p w:rsidR="005C72B1" w:rsidRDefault="005C72B1" w:rsidP="00942056">
      <w:pPr>
        <w:tabs>
          <w:tab w:val="left" w:pos="567"/>
        </w:tabs>
        <w:ind w:left="567" w:right="386" w:hanging="567"/>
        <w:jc w:val="both"/>
      </w:pPr>
      <w:r w:rsidRPr="0097022F">
        <w:t xml:space="preserve">Appendix </w:t>
      </w:r>
      <w:r w:rsidR="007E18CF">
        <w:t>6</w:t>
      </w:r>
      <w:r w:rsidRPr="0097022F">
        <w:t xml:space="preserve"> </w:t>
      </w:r>
      <w:r>
        <w:tab/>
      </w:r>
      <w:r w:rsidR="00F918BD">
        <w:t xml:space="preserve">General Fund </w:t>
      </w:r>
      <w:r w:rsidR="00AE0441">
        <w:t xml:space="preserve">and HRA </w:t>
      </w:r>
      <w:r w:rsidRPr="0097022F">
        <w:t>Capital Programme 20</w:t>
      </w:r>
      <w:r w:rsidR="006B1BD8">
        <w:t>2</w:t>
      </w:r>
      <w:r w:rsidR="00023727">
        <w:t>1</w:t>
      </w:r>
      <w:r w:rsidRPr="0097022F">
        <w:t>-</w:t>
      </w:r>
      <w:r w:rsidR="0084493A">
        <w:t>2</w:t>
      </w:r>
      <w:r w:rsidR="00023727">
        <w:t>2</w:t>
      </w:r>
      <w:r w:rsidRPr="0097022F">
        <w:t xml:space="preserve"> to 20</w:t>
      </w:r>
      <w:r w:rsidR="002C2483">
        <w:t>2</w:t>
      </w:r>
      <w:r w:rsidR="00023727">
        <w:t>4</w:t>
      </w:r>
      <w:r w:rsidRPr="0097022F">
        <w:t>-</w:t>
      </w:r>
      <w:r w:rsidR="005501CA">
        <w:t>2</w:t>
      </w:r>
      <w:r w:rsidR="00023727">
        <w:t>5</w:t>
      </w:r>
    </w:p>
    <w:p w:rsidR="005C72B1" w:rsidRDefault="005C72B1" w:rsidP="00942056">
      <w:pPr>
        <w:tabs>
          <w:tab w:val="left" w:pos="567"/>
        </w:tabs>
        <w:ind w:left="567" w:right="386" w:hanging="567"/>
        <w:jc w:val="both"/>
      </w:pPr>
      <w:r w:rsidRPr="0097022F">
        <w:t xml:space="preserve">Appendix </w:t>
      </w:r>
      <w:r w:rsidR="0041253D">
        <w:t>7</w:t>
      </w:r>
      <w:r w:rsidR="00AE0441">
        <w:tab/>
      </w:r>
      <w:r w:rsidRPr="00FE6AC6">
        <w:t xml:space="preserve">Fees and charges </w:t>
      </w:r>
    </w:p>
    <w:p w:rsidR="005C72B1" w:rsidRPr="00EA5D28" w:rsidRDefault="005C72B1" w:rsidP="00942056">
      <w:pPr>
        <w:tabs>
          <w:tab w:val="left" w:pos="567"/>
        </w:tabs>
        <w:ind w:left="567" w:right="386" w:hanging="567"/>
        <w:jc w:val="both"/>
      </w:pPr>
      <w:r w:rsidRPr="00EA5D28">
        <w:t xml:space="preserve">Appendix </w:t>
      </w:r>
      <w:r w:rsidR="0041253D" w:rsidRPr="00EA5D28">
        <w:t>8</w:t>
      </w:r>
      <w:r w:rsidRPr="00EA5D28">
        <w:tab/>
        <w:t>Risk Register</w:t>
      </w:r>
    </w:p>
    <w:p w:rsidR="005C72B1" w:rsidRDefault="005C72B1" w:rsidP="00942056">
      <w:pPr>
        <w:tabs>
          <w:tab w:val="left" w:pos="567"/>
        </w:tabs>
        <w:ind w:left="567" w:right="386" w:hanging="567"/>
        <w:jc w:val="both"/>
      </w:pPr>
      <w:r w:rsidRPr="00EA5D28">
        <w:t xml:space="preserve">Appendix </w:t>
      </w:r>
      <w:r w:rsidR="0041253D" w:rsidRPr="00EA5D28">
        <w:t>9</w:t>
      </w:r>
      <w:r w:rsidRPr="00EA5D28">
        <w:t xml:space="preserve"> </w:t>
      </w:r>
      <w:r w:rsidR="00B43878" w:rsidRPr="00EA5D28">
        <w:t xml:space="preserve"> </w:t>
      </w:r>
      <w:r w:rsidR="003F4A26">
        <w:t xml:space="preserve"> </w:t>
      </w:r>
      <w:r w:rsidRPr="00EA5D28">
        <w:t>Draft Equalities Impact Assessment</w:t>
      </w:r>
    </w:p>
    <w:p w:rsidR="00F4367A" w:rsidRPr="00FC3A80" w:rsidRDefault="00F4367A" w:rsidP="007C20F4">
      <w:pPr>
        <w:ind w:right="386" w:firstLine="540"/>
        <w:jc w:val="both"/>
        <w:rPr>
          <w:rFonts w:cs="Arial"/>
          <w:sz w:val="22"/>
          <w:szCs w:val="22"/>
        </w:rPr>
      </w:pPr>
    </w:p>
    <w:p w:rsidR="00713675" w:rsidRDefault="00713675" w:rsidP="00B3306E">
      <w:pPr>
        <w:ind w:right="386"/>
        <w:jc w:val="both"/>
        <w:rPr>
          <w:sz w:val="22"/>
          <w:szCs w:val="22"/>
        </w:rPr>
      </w:pPr>
    </w:p>
    <w:p w:rsidR="00AA26C9" w:rsidRDefault="00AA26C9" w:rsidP="00942056">
      <w:pPr>
        <w:ind w:right="386"/>
        <w:jc w:val="both"/>
        <w:rPr>
          <w:b/>
          <w:sz w:val="28"/>
          <w:szCs w:val="28"/>
        </w:rPr>
      </w:pPr>
      <w:r>
        <w:rPr>
          <w:b/>
          <w:sz w:val="28"/>
          <w:szCs w:val="28"/>
        </w:rPr>
        <w:t>Comment from the Portfolio holder</w:t>
      </w:r>
    </w:p>
    <w:p w:rsidR="00AA26C9" w:rsidRDefault="00AA26C9" w:rsidP="00023727">
      <w:pPr>
        <w:ind w:right="386"/>
        <w:jc w:val="both"/>
        <w:rPr>
          <w:b/>
          <w:sz w:val="28"/>
          <w:szCs w:val="28"/>
        </w:rPr>
      </w:pPr>
    </w:p>
    <w:p w:rsidR="00423C81" w:rsidRDefault="00423C81" w:rsidP="00423C81">
      <w:pPr>
        <w:ind w:right="386"/>
        <w:jc w:val="both"/>
      </w:pPr>
      <w:r>
        <w:t>When we set a balanced four year budget, with significant investment in the Council’s priorities, at our meeting – in our Council chamber – in February 20</w:t>
      </w:r>
      <w:r w:rsidR="00CD5621">
        <w:t>20</w:t>
      </w:r>
      <w:r>
        <w:t>, we had no idea of the appalling year which lay ahead.  The C</w:t>
      </w:r>
      <w:r w:rsidR="00CD5621">
        <w:t>OVID 19</w:t>
      </w:r>
      <w:r>
        <w:t xml:space="preserve"> pandemic has had a profound impact on our city, our country and our world.  First and foremost, the health impacts have been terrible, and we mourn those who have lost their lives or otherwise suffered.  The economic impacts of the pandemic have already been severe: firms have seen trade grind to a halt or even collapse, and many people have lost their jobs.  The impacts on the City Council have also been very severe, with a combination of addition expenditure needed to support those in need, but also sharp reductions in income.  Indeed, Oxford City Council has been particularly exposed because it has, in recent years, sought to increase external income from a variety of sources, including its wholly owned companies, in order to avoid making cuts to frontline services – our “Oxford model”.  Precisely those external income flows have been badly affected by C</w:t>
      </w:r>
      <w:r w:rsidR="00CD5621">
        <w:t>OVID</w:t>
      </w:r>
      <w:r>
        <w:t>-19.  At the same time, we should put on record our tremendous gratitude to all who have worked to help our communities get through and recover from the pandemic: these include those working in the NHS, frontline workers, for instance in retail, logistics and transport, those working on the development of vaccines, the thousands in our City who have volunteered to assist those in need, and our entire City Council workforce, who have gone the extra mile to support people, often changing their way of working almost overnight and balancing work alongside other challenges.</w:t>
      </w:r>
    </w:p>
    <w:p w:rsidR="00423C81" w:rsidRDefault="00423C81" w:rsidP="00423C81">
      <w:pPr>
        <w:ind w:right="386"/>
        <w:jc w:val="both"/>
      </w:pPr>
    </w:p>
    <w:p w:rsidR="00423C81" w:rsidRDefault="00423C81" w:rsidP="00423C81">
      <w:pPr>
        <w:ind w:right="386"/>
        <w:jc w:val="both"/>
      </w:pPr>
      <w:r>
        <w:t>What we have sought to do in this budget is mitigate the impact of C</w:t>
      </w:r>
      <w:r w:rsidR="00CD5621">
        <w:t>OVID</w:t>
      </w:r>
      <w:r>
        <w:t xml:space="preserve">-19 on services, especially for the most vulnerable.  Because the combined negative impact is </w:t>
      </w:r>
      <w:r>
        <w:lastRenderedPageBreak/>
        <w:t xml:space="preserve">expected to be </w:t>
      </w:r>
      <w:r w:rsidR="00DF44B5">
        <w:t xml:space="preserve">around </w:t>
      </w:r>
      <w:r>
        <w:t>£</w:t>
      </w:r>
      <w:r w:rsidR="00201100">
        <w:t>2</w:t>
      </w:r>
      <w:r w:rsidR="00AA2A1B">
        <w:t>9</w:t>
      </w:r>
      <w:r w:rsidR="00201100">
        <w:t xml:space="preserve"> million</w:t>
      </w:r>
      <w:r>
        <w:t xml:space="preserve"> </w:t>
      </w:r>
      <w:r w:rsidR="00AA2A1B">
        <w:t xml:space="preserve">this year and over the following four </w:t>
      </w:r>
      <w:proofErr w:type="gramStart"/>
      <w:r w:rsidR="00AA2A1B">
        <w:t>years</w:t>
      </w:r>
      <w:r>
        <w:t>,</w:t>
      </w:r>
      <w:r w:rsidR="004B4244">
        <w:t xml:space="preserve"> </w:t>
      </w:r>
      <w:r>
        <w:t>that</w:t>
      </w:r>
      <w:proofErr w:type="gramEnd"/>
      <w:r>
        <w:t xml:space="preserve"> has not been an easy task.  Government support of </w:t>
      </w:r>
      <w:r w:rsidR="00DF44B5">
        <w:t xml:space="preserve">around </w:t>
      </w:r>
      <w:r>
        <w:t>£</w:t>
      </w:r>
      <w:r w:rsidR="00201100">
        <w:t xml:space="preserve">8 million to date </w:t>
      </w:r>
      <w:r>
        <w:t>has been welcome, but it does not go anywhere near balancing out all losses due to C</w:t>
      </w:r>
      <w:r w:rsidR="00CD5621">
        <w:t>OVID</w:t>
      </w:r>
      <w:r>
        <w:t xml:space="preserve">-19, and we will continue to lobby for more.  We have looked to learn some of the lessons from the pandemic in order to operate more efficiency, and with that in mind propose major savings from going “cashless” and reducing our office space.  We are also seeking to reorganise services to make them work more efficiently and deliver a saving.  </w:t>
      </w:r>
      <w:r w:rsidR="00DF44B5">
        <w:t xml:space="preserve">No more refreshments will be served at council meetings, and councillors can, if they wish, bring their own. </w:t>
      </w:r>
      <w:r>
        <w:t>We are meeting many of the one-off costs of C</w:t>
      </w:r>
      <w:r w:rsidR="00CD5621">
        <w:t>OVID</w:t>
      </w:r>
      <w:r>
        <w:t xml:space="preserve">-19 by spending approximately £11 million of our £40 million in reserves and balances.  It should be noted, however, this is not “free money”: these funds were either earmarked for particular purposes that will now have to be funded differently, or were invested to generate a revenue return.  </w:t>
      </w:r>
    </w:p>
    <w:p w:rsidR="00423C81" w:rsidRDefault="00423C81" w:rsidP="00423C81">
      <w:pPr>
        <w:ind w:right="386"/>
        <w:jc w:val="both"/>
      </w:pPr>
    </w:p>
    <w:p w:rsidR="00423C81" w:rsidRDefault="00423C81" w:rsidP="00423C81">
      <w:pPr>
        <w:ind w:right="386"/>
        <w:jc w:val="both"/>
      </w:pPr>
      <w:r>
        <w:t xml:space="preserve">It has not been possible to avoid unwelcome proposals entirely.  For instance, we are suggesting introducing a new charge for the collection of bulky items of waste for the first time – most local authorities have done this for many years, but the free service in Oxford has been appreciated and we regret needing to propose this change.  Similarly, we will now need to ask all recipients of the garden waste service to pay towards its provision.  But we have tried very hard to retain our emphasis on preserving frontline services, especially for the most vulnerable.  For instance, we continue to maintain full council tax support for those on the lowest incomes – one of very few councils still to do so.  Our acclaimed youth ambition programme will continue, we retain full funding for the redevelopment of the East Oxford and </w:t>
      </w:r>
      <w:proofErr w:type="spellStart"/>
      <w:r>
        <w:t>Bullingdon</w:t>
      </w:r>
      <w:proofErr w:type="spellEnd"/>
      <w:r>
        <w:t xml:space="preserve"> Community Centres, and are “unpausing” these so that the projects can go ahead.  We are also reinstating funding for our vital work on climate change, to make us a net-zero Council.  We are setting aside significant additional funding for our leisure services, recognising this may be needed because of the impacts of the pandemic.  We will retain our investment in Oxford’s city centre, for instance budgeting for £2.2 million investment in our Covered Market.   </w:t>
      </w:r>
    </w:p>
    <w:p w:rsidR="00423C81" w:rsidRDefault="00423C81" w:rsidP="00423C81">
      <w:pPr>
        <w:ind w:right="386"/>
        <w:jc w:val="both"/>
      </w:pPr>
    </w:p>
    <w:p w:rsidR="00423C81" w:rsidRDefault="00423C81" w:rsidP="00423C81">
      <w:pPr>
        <w:ind w:right="386"/>
        <w:jc w:val="both"/>
      </w:pPr>
      <w:r>
        <w:t>Our two wholly-owned companies are a big part of our “Oxford model”.  Oxford Direct Services has been severely affected by C</w:t>
      </w:r>
      <w:r w:rsidR="00CD5621">
        <w:t>OVID 1</w:t>
      </w:r>
      <w:r>
        <w:t xml:space="preserve">-19, but still aims to deliver £12 million in </w:t>
      </w:r>
      <w:r w:rsidRPr="00E06060">
        <w:t xml:space="preserve">dividends over the next four years.  </w:t>
      </w:r>
      <w:r w:rsidR="00E06060" w:rsidRPr="00E06060">
        <w:t xml:space="preserve">In the </w:t>
      </w:r>
      <w:r w:rsidR="00DF44B5">
        <w:t>next</w:t>
      </w:r>
      <w:r w:rsidR="00E06060" w:rsidRPr="00E06060">
        <w:t xml:space="preserve"> </w:t>
      </w:r>
      <w:r w:rsidR="00DF44B5">
        <w:t>four</w:t>
      </w:r>
      <w:r w:rsidR="00E06060" w:rsidRPr="00E06060">
        <w:t xml:space="preserve"> years </w:t>
      </w:r>
      <w:r w:rsidRPr="00E06060">
        <w:t xml:space="preserve">Oxford City Housing Limited is being funded to deliver </w:t>
      </w:r>
      <w:r w:rsidR="00E06060" w:rsidRPr="00E06060">
        <w:t>955</w:t>
      </w:r>
      <w:r w:rsidRPr="00E06060">
        <w:t xml:space="preserve"> homes including </w:t>
      </w:r>
      <w:r w:rsidR="00E06060" w:rsidRPr="00E06060">
        <w:t>606</w:t>
      </w:r>
      <w:r w:rsidRPr="00E06060">
        <w:t xml:space="preserve"> council</w:t>
      </w:r>
      <w:r>
        <w:t xml:space="preserve"> homes, and make payments of interest and dividends to the City Council totalling £25 million over the next four years.  Moreover, we have set aside £1</w:t>
      </w:r>
      <w:r w:rsidR="00E06060">
        <w:t>0.3</w:t>
      </w:r>
      <w:r>
        <w:t xml:space="preserve"> million in our Housing Revenue Account over the next </w:t>
      </w:r>
      <w:r w:rsidR="00DF44B5">
        <w:t>four</w:t>
      </w:r>
      <w:r>
        <w:t xml:space="preserve"> years (the money we receive from our council tenants’ rents) to invest in improving the energy efficiency of our housing stock, and the wider regeneration of our housing estates.</w:t>
      </w:r>
    </w:p>
    <w:p w:rsidR="00423C81" w:rsidRDefault="00423C81" w:rsidP="00423C81">
      <w:pPr>
        <w:ind w:right="386"/>
        <w:jc w:val="both"/>
      </w:pPr>
    </w:p>
    <w:p w:rsidR="00423C81" w:rsidRPr="00377913" w:rsidRDefault="00423C81" w:rsidP="00423C81">
      <w:pPr>
        <w:ind w:right="386"/>
        <w:jc w:val="both"/>
      </w:pPr>
      <w:r>
        <w:t>This has been a dreadful year for many people.  Our aim is to play a full part in supporting Oxford’s recovery.  We would welcome feedback in our budget consultation on our attempts, set out in this budget and Medium Term Financial Strategy, to get that to happen.</w:t>
      </w:r>
    </w:p>
    <w:p w:rsidR="00023727" w:rsidRDefault="00023727" w:rsidP="00023727">
      <w:pPr>
        <w:ind w:right="386"/>
        <w:jc w:val="both"/>
        <w:rPr>
          <w:b/>
          <w:sz w:val="28"/>
          <w:szCs w:val="28"/>
        </w:rPr>
      </w:pPr>
    </w:p>
    <w:p w:rsidR="00C76527" w:rsidRDefault="00C76527" w:rsidP="00023727">
      <w:pPr>
        <w:ind w:right="386"/>
        <w:jc w:val="both"/>
        <w:rPr>
          <w:b/>
          <w:sz w:val="28"/>
          <w:szCs w:val="28"/>
        </w:rPr>
      </w:pPr>
    </w:p>
    <w:p w:rsidR="00C76527" w:rsidRDefault="00C76527" w:rsidP="00023727">
      <w:pPr>
        <w:ind w:right="386"/>
        <w:jc w:val="both"/>
        <w:rPr>
          <w:b/>
          <w:sz w:val="28"/>
          <w:szCs w:val="28"/>
        </w:rPr>
      </w:pPr>
    </w:p>
    <w:p w:rsidR="00C76527" w:rsidRDefault="00C76527" w:rsidP="00023727">
      <w:pPr>
        <w:ind w:right="386"/>
        <w:jc w:val="both"/>
        <w:rPr>
          <w:b/>
          <w:sz w:val="28"/>
          <w:szCs w:val="28"/>
        </w:rPr>
      </w:pPr>
    </w:p>
    <w:p w:rsidR="00484B29" w:rsidRDefault="00484B29" w:rsidP="00942056">
      <w:pPr>
        <w:ind w:right="386"/>
        <w:jc w:val="both"/>
        <w:rPr>
          <w:b/>
          <w:sz w:val="22"/>
          <w:szCs w:val="22"/>
        </w:rPr>
      </w:pPr>
    </w:p>
    <w:p w:rsidR="00B3306E" w:rsidRDefault="00B3306E" w:rsidP="00942056">
      <w:pPr>
        <w:ind w:right="386"/>
        <w:jc w:val="both"/>
        <w:rPr>
          <w:b/>
          <w:sz w:val="22"/>
          <w:szCs w:val="22"/>
        </w:rPr>
      </w:pPr>
      <w:r w:rsidRPr="00B3306E">
        <w:rPr>
          <w:b/>
          <w:sz w:val="22"/>
          <w:szCs w:val="22"/>
        </w:rPr>
        <w:t>INTRODUCTION</w:t>
      </w:r>
    </w:p>
    <w:p w:rsidR="00B3306E" w:rsidRDefault="00B3306E" w:rsidP="007C20F4">
      <w:pPr>
        <w:ind w:right="386" w:firstLine="540"/>
        <w:jc w:val="both"/>
        <w:rPr>
          <w:b/>
          <w:sz w:val="22"/>
          <w:szCs w:val="22"/>
        </w:rPr>
      </w:pPr>
    </w:p>
    <w:p w:rsidR="007A7044" w:rsidRPr="00201100" w:rsidRDefault="00CC1EE8" w:rsidP="00F7377A">
      <w:pPr>
        <w:pStyle w:val="ListParagraph"/>
        <w:numPr>
          <w:ilvl w:val="0"/>
          <w:numId w:val="8"/>
        </w:numPr>
        <w:ind w:right="386" w:hanging="720"/>
        <w:rPr>
          <w:rFonts w:cs="Arial"/>
        </w:rPr>
      </w:pPr>
      <w:r w:rsidRPr="00201100">
        <w:rPr>
          <w:rFonts w:cs="Arial"/>
        </w:rPr>
        <w:t>This report sets out the Council</w:t>
      </w:r>
      <w:r w:rsidR="00CD3973" w:rsidRPr="00201100">
        <w:rPr>
          <w:rFonts w:cs="Arial"/>
        </w:rPr>
        <w:t>’</w:t>
      </w:r>
      <w:r w:rsidRPr="00201100">
        <w:rPr>
          <w:rFonts w:cs="Arial"/>
        </w:rPr>
        <w:t xml:space="preserve">s </w:t>
      </w:r>
      <w:r w:rsidR="00507287" w:rsidRPr="00201100">
        <w:rPr>
          <w:rFonts w:cs="Arial"/>
        </w:rPr>
        <w:t>Medi</w:t>
      </w:r>
      <w:r w:rsidR="00603CCF" w:rsidRPr="00201100">
        <w:rPr>
          <w:rFonts w:cs="Arial"/>
        </w:rPr>
        <w:t>um Term Financial Strategy (MTFS</w:t>
      </w:r>
      <w:r w:rsidR="00507287" w:rsidRPr="00201100">
        <w:rPr>
          <w:rFonts w:cs="Arial"/>
        </w:rPr>
        <w:t xml:space="preserve">) </w:t>
      </w:r>
      <w:r w:rsidR="007A432D" w:rsidRPr="00201100">
        <w:rPr>
          <w:rFonts w:cs="Arial"/>
        </w:rPr>
        <w:t xml:space="preserve">and associated </w:t>
      </w:r>
      <w:r w:rsidRPr="00201100">
        <w:rPr>
          <w:rFonts w:cs="Arial"/>
        </w:rPr>
        <w:t xml:space="preserve">spending plans for the four years </w:t>
      </w:r>
      <w:r w:rsidR="00507287" w:rsidRPr="00201100">
        <w:rPr>
          <w:rFonts w:cs="Arial"/>
        </w:rPr>
        <w:t>20</w:t>
      </w:r>
      <w:r w:rsidR="006B1BD8" w:rsidRPr="00201100">
        <w:rPr>
          <w:rFonts w:cs="Arial"/>
        </w:rPr>
        <w:t>2</w:t>
      </w:r>
      <w:r w:rsidR="00023727" w:rsidRPr="00201100">
        <w:rPr>
          <w:rFonts w:cs="Arial"/>
        </w:rPr>
        <w:t>1</w:t>
      </w:r>
      <w:r w:rsidR="00507287" w:rsidRPr="00201100">
        <w:rPr>
          <w:rFonts w:cs="Arial"/>
        </w:rPr>
        <w:t>/</w:t>
      </w:r>
      <w:r w:rsidR="0084493A" w:rsidRPr="00201100">
        <w:rPr>
          <w:rFonts w:cs="Arial"/>
        </w:rPr>
        <w:t>2</w:t>
      </w:r>
      <w:r w:rsidR="00023727" w:rsidRPr="00201100">
        <w:rPr>
          <w:rFonts w:cs="Arial"/>
        </w:rPr>
        <w:t>2</w:t>
      </w:r>
      <w:r w:rsidR="00507287" w:rsidRPr="00201100">
        <w:rPr>
          <w:rFonts w:cs="Arial"/>
        </w:rPr>
        <w:t xml:space="preserve"> to 20</w:t>
      </w:r>
      <w:r w:rsidR="002C2483" w:rsidRPr="00201100">
        <w:rPr>
          <w:rFonts w:cs="Arial"/>
        </w:rPr>
        <w:t>2</w:t>
      </w:r>
      <w:r w:rsidR="00023727" w:rsidRPr="00201100">
        <w:rPr>
          <w:rFonts w:cs="Arial"/>
        </w:rPr>
        <w:t>4</w:t>
      </w:r>
      <w:r w:rsidR="00507287" w:rsidRPr="00201100">
        <w:rPr>
          <w:rFonts w:cs="Arial"/>
        </w:rPr>
        <w:t>/</w:t>
      </w:r>
      <w:r w:rsidR="005501CA" w:rsidRPr="00201100">
        <w:rPr>
          <w:rFonts w:cs="Arial"/>
        </w:rPr>
        <w:t>2</w:t>
      </w:r>
      <w:r w:rsidR="00023727" w:rsidRPr="00201100">
        <w:rPr>
          <w:rFonts w:cs="Arial"/>
        </w:rPr>
        <w:t>5</w:t>
      </w:r>
      <w:r w:rsidR="00507287" w:rsidRPr="00201100">
        <w:rPr>
          <w:rFonts w:cs="Arial"/>
        </w:rPr>
        <w:t xml:space="preserve"> </w:t>
      </w:r>
      <w:r w:rsidRPr="00201100">
        <w:rPr>
          <w:rFonts w:cs="Arial"/>
        </w:rPr>
        <w:t xml:space="preserve">and gives interested parties the opportunity to comment and be consulted </w:t>
      </w:r>
      <w:r w:rsidR="00CD3973" w:rsidRPr="00201100">
        <w:rPr>
          <w:rFonts w:cs="Arial"/>
        </w:rPr>
        <w:t>on</w:t>
      </w:r>
      <w:r w:rsidRPr="00201100">
        <w:rPr>
          <w:rFonts w:cs="Arial"/>
        </w:rPr>
        <w:t xml:space="preserve"> the Council</w:t>
      </w:r>
      <w:r w:rsidR="00CD3973" w:rsidRPr="00201100">
        <w:rPr>
          <w:rFonts w:cs="Arial"/>
        </w:rPr>
        <w:t>’</w:t>
      </w:r>
      <w:r w:rsidRPr="00201100">
        <w:rPr>
          <w:rFonts w:cs="Arial"/>
        </w:rPr>
        <w:t xml:space="preserve">s budget </w:t>
      </w:r>
      <w:r w:rsidR="00CD3973" w:rsidRPr="00201100">
        <w:rPr>
          <w:rFonts w:cs="Arial"/>
        </w:rPr>
        <w:t xml:space="preserve">proposals </w:t>
      </w:r>
      <w:r w:rsidRPr="00201100">
        <w:rPr>
          <w:rFonts w:cs="Arial"/>
        </w:rPr>
        <w:t xml:space="preserve">for the financial year </w:t>
      </w:r>
      <w:r w:rsidR="00CD3973" w:rsidRPr="00201100">
        <w:rPr>
          <w:rFonts w:cs="Arial"/>
        </w:rPr>
        <w:t>(</w:t>
      </w:r>
      <w:r w:rsidRPr="00201100">
        <w:rPr>
          <w:rFonts w:cs="Arial"/>
        </w:rPr>
        <w:t>20</w:t>
      </w:r>
      <w:r w:rsidR="006B1BD8" w:rsidRPr="00201100">
        <w:rPr>
          <w:rFonts w:cs="Arial"/>
        </w:rPr>
        <w:t>2</w:t>
      </w:r>
      <w:r w:rsidR="00023727" w:rsidRPr="00201100">
        <w:rPr>
          <w:rFonts w:cs="Arial"/>
        </w:rPr>
        <w:t>1</w:t>
      </w:r>
      <w:r w:rsidRPr="00201100">
        <w:rPr>
          <w:rFonts w:cs="Arial"/>
        </w:rPr>
        <w:t>/</w:t>
      </w:r>
      <w:r w:rsidR="0084493A" w:rsidRPr="00201100">
        <w:rPr>
          <w:rFonts w:cs="Arial"/>
        </w:rPr>
        <w:t>2</w:t>
      </w:r>
      <w:r w:rsidR="00023727" w:rsidRPr="00201100">
        <w:rPr>
          <w:rFonts w:cs="Arial"/>
        </w:rPr>
        <w:t>2</w:t>
      </w:r>
      <w:r w:rsidR="00CD3973" w:rsidRPr="00201100">
        <w:rPr>
          <w:rFonts w:cs="Arial"/>
        </w:rPr>
        <w:t>)</w:t>
      </w:r>
      <w:r w:rsidRPr="00201100">
        <w:rPr>
          <w:rFonts w:cs="Arial"/>
        </w:rPr>
        <w:t>. The report covers all aspects of the Council</w:t>
      </w:r>
      <w:r w:rsidR="00CD3973" w:rsidRPr="00201100">
        <w:rPr>
          <w:rFonts w:cs="Arial"/>
        </w:rPr>
        <w:t>’</w:t>
      </w:r>
      <w:r w:rsidRPr="00201100">
        <w:rPr>
          <w:rFonts w:cs="Arial"/>
        </w:rPr>
        <w:t>s spend</w:t>
      </w:r>
      <w:r w:rsidR="00CD3973" w:rsidRPr="00201100">
        <w:rPr>
          <w:rFonts w:cs="Arial"/>
        </w:rPr>
        <w:t>:</w:t>
      </w:r>
      <w:r w:rsidRPr="00201100">
        <w:rPr>
          <w:rFonts w:cs="Arial"/>
        </w:rPr>
        <w:t xml:space="preserve"> General Fund </w:t>
      </w:r>
      <w:r w:rsidR="005C72B1" w:rsidRPr="00201100">
        <w:rPr>
          <w:rFonts w:cs="Arial"/>
        </w:rPr>
        <w:t>r</w:t>
      </w:r>
      <w:r w:rsidRPr="00201100">
        <w:rPr>
          <w:rFonts w:cs="Arial"/>
        </w:rPr>
        <w:t>evenue expenditure funded by the council tax payer</w:t>
      </w:r>
      <w:r w:rsidR="003F6421" w:rsidRPr="00201100">
        <w:rPr>
          <w:rFonts w:cs="Arial"/>
        </w:rPr>
        <w:t>, government grant and other sources of income</w:t>
      </w:r>
      <w:r w:rsidRPr="00201100">
        <w:rPr>
          <w:rFonts w:cs="Arial"/>
        </w:rPr>
        <w:t>, Housing Revenue Account</w:t>
      </w:r>
      <w:r w:rsidR="00CD3973" w:rsidRPr="00201100">
        <w:rPr>
          <w:rFonts w:cs="Arial"/>
        </w:rPr>
        <w:t xml:space="preserve"> </w:t>
      </w:r>
      <w:r w:rsidR="003F6421" w:rsidRPr="00201100">
        <w:rPr>
          <w:rFonts w:cs="Arial"/>
        </w:rPr>
        <w:t xml:space="preserve">(HRA) </w:t>
      </w:r>
      <w:r w:rsidR="00AA73D4" w:rsidRPr="00201100">
        <w:rPr>
          <w:rFonts w:cs="Arial"/>
        </w:rPr>
        <w:t>expenditure</w:t>
      </w:r>
      <w:r w:rsidRPr="00201100">
        <w:rPr>
          <w:rFonts w:cs="Arial"/>
        </w:rPr>
        <w:t>, funded by council tenants</w:t>
      </w:r>
      <w:r w:rsidR="003F6421" w:rsidRPr="00201100">
        <w:rPr>
          <w:rFonts w:cs="Arial"/>
        </w:rPr>
        <w:t>’ rents,</w:t>
      </w:r>
      <w:r w:rsidRPr="00201100">
        <w:rPr>
          <w:rFonts w:cs="Arial"/>
        </w:rPr>
        <w:t xml:space="preserve"> and the Council</w:t>
      </w:r>
      <w:r w:rsidR="00CD3973" w:rsidRPr="00201100">
        <w:rPr>
          <w:rFonts w:cs="Arial"/>
        </w:rPr>
        <w:t>’</w:t>
      </w:r>
      <w:r w:rsidRPr="00201100">
        <w:rPr>
          <w:rFonts w:cs="Arial"/>
        </w:rPr>
        <w:t>s Capital Programme</w:t>
      </w:r>
      <w:r w:rsidR="003F6421" w:rsidRPr="00201100">
        <w:rPr>
          <w:rFonts w:cs="Arial"/>
        </w:rPr>
        <w:t>s (General Fund and HRA)</w:t>
      </w:r>
      <w:r w:rsidR="00C52DEE" w:rsidRPr="00201100">
        <w:rPr>
          <w:rFonts w:cs="Arial"/>
        </w:rPr>
        <w:t xml:space="preserve"> funded by capital r</w:t>
      </w:r>
      <w:r w:rsidRPr="00201100">
        <w:rPr>
          <w:rFonts w:cs="Arial"/>
        </w:rPr>
        <w:t>eceipts, revenue and borrowing.</w:t>
      </w:r>
    </w:p>
    <w:p w:rsidR="00367883" w:rsidRPr="0065280F" w:rsidRDefault="00367883" w:rsidP="00B80EBF">
      <w:pPr>
        <w:tabs>
          <w:tab w:val="num" w:pos="567"/>
        </w:tabs>
        <w:ind w:left="567" w:right="386" w:hanging="567"/>
        <w:rPr>
          <w:rFonts w:cs="Arial"/>
        </w:rPr>
      </w:pPr>
    </w:p>
    <w:p w:rsidR="00367883" w:rsidRPr="0065280F" w:rsidRDefault="00367883" w:rsidP="00F7377A">
      <w:pPr>
        <w:pStyle w:val="ListParagraph"/>
        <w:numPr>
          <w:ilvl w:val="0"/>
          <w:numId w:val="8"/>
        </w:numPr>
        <w:ind w:right="386" w:hanging="720"/>
        <w:rPr>
          <w:rFonts w:cs="Arial"/>
        </w:rPr>
      </w:pPr>
      <w:r w:rsidRPr="0065280F">
        <w:rPr>
          <w:rFonts w:cs="Arial"/>
        </w:rPr>
        <w:t>The propos</w:t>
      </w:r>
      <w:r w:rsidR="00017EC1" w:rsidRPr="0065280F">
        <w:rPr>
          <w:rFonts w:cs="Arial"/>
        </w:rPr>
        <w:t>ed</w:t>
      </w:r>
      <w:r w:rsidRPr="0065280F">
        <w:rPr>
          <w:rFonts w:cs="Arial"/>
        </w:rPr>
        <w:t xml:space="preserve"> M</w:t>
      </w:r>
      <w:r w:rsidR="000D4044" w:rsidRPr="0065280F">
        <w:rPr>
          <w:rFonts w:cs="Arial"/>
        </w:rPr>
        <w:t xml:space="preserve">edium </w:t>
      </w:r>
      <w:r w:rsidRPr="0065280F">
        <w:rPr>
          <w:rFonts w:cs="Arial"/>
        </w:rPr>
        <w:t>T</w:t>
      </w:r>
      <w:r w:rsidR="000D4044" w:rsidRPr="0065280F">
        <w:rPr>
          <w:rFonts w:cs="Arial"/>
        </w:rPr>
        <w:t xml:space="preserve">erm </w:t>
      </w:r>
      <w:r w:rsidRPr="0065280F">
        <w:rPr>
          <w:rFonts w:cs="Arial"/>
        </w:rPr>
        <w:t>F</w:t>
      </w:r>
      <w:r w:rsidR="000D4044" w:rsidRPr="0065280F">
        <w:rPr>
          <w:rFonts w:cs="Arial"/>
        </w:rPr>
        <w:t xml:space="preserve">inancial </w:t>
      </w:r>
      <w:r w:rsidRPr="0065280F">
        <w:rPr>
          <w:rFonts w:cs="Arial"/>
        </w:rPr>
        <w:t>S</w:t>
      </w:r>
      <w:r w:rsidR="000D4044" w:rsidRPr="0065280F">
        <w:rPr>
          <w:rFonts w:cs="Arial"/>
        </w:rPr>
        <w:t>trategy</w:t>
      </w:r>
      <w:r w:rsidRPr="0065280F">
        <w:rPr>
          <w:rFonts w:cs="Arial"/>
        </w:rPr>
        <w:t>:</w:t>
      </w:r>
    </w:p>
    <w:p w:rsidR="00367883" w:rsidRPr="0065280F" w:rsidRDefault="00367883" w:rsidP="00416EFF">
      <w:pPr>
        <w:pStyle w:val="ListParagraph"/>
        <w:tabs>
          <w:tab w:val="num" w:pos="567"/>
        </w:tabs>
        <w:ind w:left="567" w:firstLine="142"/>
        <w:rPr>
          <w:rFonts w:cs="Arial"/>
        </w:rPr>
      </w:pPr>
    </w:p>
    <w:p w:rsidR="00367883" w:rsidRPr="0065280F" w:rsidRDefault="00367883" w:rsidP="009312E5">
      <w:pPr>
        <w:pStyle w:val="ListParagraph"/>
        <w:numPr>
          <w:ilvl w:val="0"/>
          <w:numId w:val="2"/>
        </w:numPr>
        <w:ind w:left="1134" w:hanging="425"/>
        <w:rPr>
          <w:rFonts w:cs="Arial"/>
        </w:rPr>
      </w:pPr>
      <w:r w:rsidRPr="0065280F">
        <w:rPr>
          <w:rFonts w:cs="Arial"/>
        </w:rPr>
        <w:t xml:space="preserve">Is financially </w:t>
      </w:r>
      <w:r w:rsidR="00770AB9">
        <w:rPr>
          <w:rFonts w:cs="Arial"/>
        </w:rPr>
        <w:t xml:space="preserve">balanced over the </w:t>
      </w:r>
      <w:r w:rsidR="00511CD4">
        <w:rPr>
          <w:rFonts w:cs="Arial"/>
        </w:rPr>
        <w:t>four</w:t>
      </w:r>
      <w:r w:rsidR="00770AB9">
        <w:rPr>
          <w:rFonts w:cs="Arial"/>
        </w:rPr>
        <w:t xml:space="preserve"> year period with the use of £11.6 million of earmarked reserves and balances which are reimbursed to some extent by a dividend payment from</w:t>
      </w:r>
      <w:r w:rsidR="00511CD4">
        <w:rPr>
          <w:rFonts w:cs="Arial"/>
        </w:rPr>
        <w:t xml:space="preserve"> Oxford City Housing Ltd</w:t>
      </w:r>
      <w:r w:rsidR="00770AB9">
        <w:rPr>
          <w:rFonts w:cs="Arial"/>
        </w:rPr>
        <w:t xml:space="preserve"> </w:t>
      </w:r>
      <w:r w:rsidR="00511CD4">
        <w:rPr>
          <w:rFonts w:cs="Arial"/>
        </w:rPr>
        <w:t>(</w:t>
      </w:r>
      <w:r w:rsidR="00770AB9">
        <w:rPr>
          <w:rFonts w:cs="Arial"/>
        </w:rPr>
        <w:t>OCHL</w:t>
      </w:r>
      <w:r w:rsidR="00511CD4">
        <w:rPr>
          <w:rFonts w:cs="Arial"/>
        </w:rPr>
        <w:t>)</w:t>
      </w:r>
      <w:r w:rsidR="00770AB9">
        <w:rPr>
          <w:rFonts w:cs="Arial"/>
        </w:rPr>
        <w:t xml:space="preserve"> of around £5 million in 2024-25. </w:t>
      </w:r>
    </w:p>
    <w:p w:rsidR="00ED6871" w:rsidRPr="0065280F" w:rsidRDefault="00ED6871" w:rsidP="009312E5">
      <w:pPr>
        <w:pStyle w:val="ListParagraph"/>
        <w:numPr>
          <w:ilvl w:val="0"/>
          <w:numId w:val="2"/>
        </w:numPr>
        <w:tabs>
          <w:tab w:val="num" w:pos="1134"/>
        </w:tabs>
        <w:ind w:left="1134" w:hanging="425"/>
        <w:rPr>
          <w:rFonts w:cs="Arial"/>
        </w:rPr>
      </w:pPr>
      <w:r w:rsidRPr="0065280F">
        <w:rPr>
          <w:rFonts w:cs="Arial"/>
        </w:rPr>
        <w:t>Assumes New Homes Bonus is used to fi</w:t>
      </w:r>
      <w:r w:rsidR="003531A4" w:rsidRPr="0065280F">
        <w:rPr>
          <w:rFonts w:cs="Arial"/>
        </w:rPr>
        <w:t>nance</w:t>
      </w:r>
      <w:r w:rsidRPr="0065280F">
        <w:rPr>
          <w:rFonts w:cs="Arial"/>
        </w:rPr>
        <w:t xml:space="preserve"> the </w:t>
      </w:r>
      <w:r w:rsidR="003531A4" w:rsidRPr="0065280F">
        <w:rPr>
          <w:rFonts w:cs="Arial"/>
        </w:rPr>
        <w:t>Capital Programme</w:t>
      </w:r>
      <w:r w:rsidR="00811C54" w:rsidRPr="0065280F">
        <w:rPr>
          <w:rFonts w:cs="Arial"/>
        </w:rPr>
        <w:t xml:space="preserve"> until</w:t>
      </w:r>
      <w:r w:rsidR="00511CD4">
        <w:rPr>
          <w:rFonts w:cs="Arial"/>
        </w:rPr>
        <w:t xml:space="preserve"> the receipt of </w:t>
      </w:r>
      <w:r w:rsidR="00511CD4" w:rsidRPr="0065280F">
        <w:rPr>
          <w:rFonts w:cs="Arial"/>
        </w:rPr>
        <w:t xml:space="preserve"> </w:t>
      </w:r>
      <w:r w:rsidR="00511CD4">
        <w:rPr>
          <w:rFonts w:cs="Arial"/>
        </w:rPr>
        <w:t>New Homes Bonus</w:t>
      </w:r>
      <w:r w:rsidR="00811C54" w:rsidRPr="0065280F">
        <w:rPr>
          <w:rFonts w:cs="Arial"/>
        </w:rPr>
        <w:t xml:space="preserve"> ends in 202</w:t>
      </w:r>
      <w:r w:rsidR="0065280F" w:rsidRPr="0065280F">
        <w:rPr>
          <w:rFonts w:cs="Arial"/>
        </w:rPr>
        <w:t>2</w:t>
      </w:r>
      <w:r w:rsidR="00811C54" w:rsidRPr="0065280F">
        <w:rPr>
          <w:rFonts w:cs="Arial"/>
        </w:rPr>
        <w:t>-2</w:t>
      </w:r>
      <w:r w:rsidR="0065280F" w:rsidRPr="0065280F">
        <w:rPr>
          <w:rFonts w:cs="Arial"/>
        </w:rPr>
        <w:t>3</w:t>
      </w:r>
    </w:p>
    <w:p w:rsidR="00367883" w:rsidRPr="00BF5E24" w:rsidRDefault="000D4044" w:rsidP="009312E5">
      <w:pPr>
        <w:pStyle w:val="ListParagraph"/>
        <w:numPr>
          <w:ilvl w:val="0"/>
          <w:numId w:val="2"/>
        </w:numPr>
        <w:tabs>
          <w:tab w:val="num" w:pos="1134"/>
        </w:tabs>
        <w:ind w:left="1134" w:hanging="567"/>
        <w:rPr>
          <w:rFonts w:cs="Arial"/>
        </w:rPr>
      </w:pPr>
      <w:r w:rsidRPr="00BF5E24">
        <w:rPr>
          <w:rFonts w:cs="Arial"/>
        </w:rPr>
        <w:t>A</w:t>
      </w:r>
      <w:r w:rsidR="006D3F6B" w:rsidRPr="00BF5E24">
        <w:rPr>
          <w:rFonts w:cs="Arial"/>
        </w:rPr>
        <w:t>ssumes</w:t>
      </w:r>
      <w:r w:rsidRPr="00BF5E24">
        <w:rPr>
          <w:rFonts w:cs="Arial"/>
        </w:rPr>
        <w:t xml:space="preserve"> </w:t>
      </w:r>
      <w:r w:rsidR="003E3387" w:rsidRPr="00BF5E24">
        <w:rPr>
          <w:rFonts w:cs="Arial"/>
        </w:rPr>
        <w:t xml:space="preserve">a council tax increase of </w:t>
      </w:r>
      <w:r w:rsidR="006B1BD8" w:rsidRPr="00BF5E24">
        <w:rPr>
          <w:rFonts w:cs="Arial"/>
        </w:rPr>
        <w:t>1</w:t>
      </w:r>
      <w:r w:rsidR="003E3387" w:rsidRPr="00BF5E24">
        <w:rPr>
          <w:rFonts w:cs="Arial"/>
        </w:rPr>
        <w:t>.99% for 20</w:t>
      </w:r>
      <w:r w:rsidR="00BF5E24" w:rsidRPr="00BF5E24">
        <w:rPr>
          <w:rFonts w:cs="Arial"/>
        </w:rPr>
        <w:t>21</w:t>
      </w:r>
      <w:r w:rsidR="003E3387" w:rsidRPr="00BF5E24">
        <w:rPr>
          <w:rFonts w:cs="Arial"/>
        </w:rPr>
        <w:t>-2</w:t>
      </w:r>
      <w:r w:rsidR="00BF5E24" w:rsidRPr="00BF5E24">
        <w:rPr>
          <w:rFonts w:cs="Arial"/>
        </w:rPr>
        <w:t>2</w:t>
      </w:r>
      <w:r w:rsidR="003E3387" w:rsidRPr="00BF5E24">
        <w:rPr>
          <w:rFonts w:cs="Arial"/>
        </w:rPr>
        <w:t xml:space="preserve"> and </w:t>
      </w:r>
      <w:r w:rsidR="00ED6871" w:rsidRPr="00BF5E24">
        <w:rPr>
          <w:rFonts w:cs="Arial"/>
        </w:rPr>
        <w:t xml:space="preserve">annual </w:t>
      </w:r>
      <w:r w:rsidR="00367883" w:rsidRPr="00BF5E24">
        <w:rPr>
          <w:rFonts w:cs="Arial"/>
        </w:rPr>
        <w:t xml:space="preserve">Council Tax </w:t>
      </w:r>
      <w:r w:rsidR="00ED6871" w:rsidRPr="00BF5E24">
        <w:rPr>
          <w:rFonts w:cs="Arial"/>
        </w:rPr>
        <w:t xml:space="preserve">increases </w:t>
      </w:r>
      <w:r w:rsidR="00C149B2" w:rsidRPr="00BF5E24">
        <w:rPr>
          <w:rFonts w:cs="Arial"/>
        </w:rPr>
        <w:t xml:space="preserve">of </w:t>
      </w:r>
      <w:r w:rsidR="003F6421" w:rsidRPr="00BF5E24">
        <w:rPr>
          <w:rFonts w:cs="Arial"/>
        </w:rPr>
        <w:t>1.99</w:t>
      </w:r>
      <w:r w:rsidR="00367883" w:rsidRPr="00BF5E24">
        <w:rPr>
          <w:rFonts w:cs="Arial"/>
        </w:rPr>
        <w:t xml:space="preserve">% </w:t>
      </w:r>
      <w:r w:rsidR="003E3387" w:rsidRPr="00BF5E24">
        <w:rPr>
          <w:rFonts w:cs="Arial"/>
        </w:rPr>
        <w:t>thereafter, the maximum rate at which there is no requirement for a referendum</w:t>
      </w:r>
    </w:p>
    <w:p w:rsidR="00A041EC" w:rsidRPr="0065280F" w:rsidRDefault="00A041EC" w:rsidP="009312E5">
      <w:pPr>
        <w:pStyle w:val="ListParagraph"/>
        <w:numPr>
          <w:ilvl w:val="0"/>
          <w:numId w:val="2"/>
        </w:numPr>
        <w:tabs>
          <w:tab w:val="num" w:pos="1134"/>
        </w:tabs>
        <w:ind w:left="1134" w:hanging="567"/>
        <w:rPr>
          <w:rFonts w:cs="Arial"/>
        </w:rPr>
      </w:pPr>
      <w:r w:rsidRPr="0065280F">
        <w:rPr>
          <w:rFonts w:cs="Arial"/>
        </w:rPr>
        <w:t xml:space="preserve">Assumes an increase in council house rents of </w:t>
      </w:r>
      <w:r w:rsidR="0065280F" w:rsidRPr="0065280F">
        <w:rPr>
          <w:rFonts w:cs="Arial"/>
        </w:rPr>
        <w:t>1.5</w:t>
      </w:r>
      <w:r w:rsidR="00511CD4">
        <w:rPr>
          <w:rFonts w:cs="Arial"/>
        </w:rPr>
        <w:t>0</w:t>
      </w:r>
      <w:r w:rsidRPr="0065280F">
        <w:rPr>
          <w:rFonts w:cs="Arial"/>
        </w:rPr>
        <w:t>% in 202</w:t>
      </w:r>
      <w:r w:rsidR="0065280F" w:rsidRPr="0065280F">
        <w:rPr>
          <w:rFonts w:cs="Arial"/>
        </w:rPr>
        <w:t>1</w:t>
      </w:r>
      <w:r w:rsidRPr="0065280F">
        <w:rPr>
          <w:rFonts w:cs="Arial"/>
        </w:rPr>
        <w:t>-2</w:t>
      </w:r>
      <w:r w:rsidR="0065280F" w:rsidRPr="0065280F">
        <w:rPr>
          <w:rFonts w:cs="Arial"/>
        </w:rPr>
        <w:t>2</w:t>
      </w:r>
      <w:r w:rsidR="004434F4" w:rsidRPr="0065280F">
        <w:rPr>
          <w:rFonts w:cs="Arial"/>
        </w:rPr>
        <w:t xml:space="preserve"> to an average of £10</w:t>
      </w:r>
      <w:r w:rsidR="0065280F" w:rsidRPr="0065280F">
        <w:rPr>
          <w:rFonts w:cs="Arial"/>
        </w:rPr>
        <w:t>7</w:t>
      </w:r>
      <w:r w:rsidR="004434F4" w:rsidRPr="0065280F">
        <w:rPr>
          <w:rFonts w:cs="Arial"/>
        </w:rPr>
        <w:t>.</w:t>
      </w:r>
      <w:r w:rsidR="0065280F" w:rsidRPr="0065280F">
        <w:rPr>
          <w:rFonts w:cs="Arial"/>
        </w:rPr>
        <w:t>03</w:t>
      </w:r>
      <w:r w:rsidR="004434F4" w:rsidRPr="0065280F">
        <w:rPr>
          <w:rFonts w:cs="Arial"/>
        </w:rPr>
        <w:t xml:space="preserve"> per week</w:t>
      </w:r>
    </w:p>
    <w:p w:rsidR="00367883" w:rsidRPr="0065280F" w:rsidRDefault="006D3F6B" w:rsidP="009312E5">
      <w:pPr>
        <w:pStyle w:val="ListParagraph"/>
        <w:numPr>
          <w:ilvl w:val="0"/>
          <w:numId w:val="2"/>
        </w:numPr>
        <w:tabs>
          <w:tab w:val="num" w:pos="1134"/>
        </w:tabs>
        <w:ind w:left="1134" w:hanging="567"/>
        <w:rPr>
          <w:rFonts w:cs="Arial"/>
        </w:rPr>
      </w:pPr>
      <w:r w:rsidRPr="0065280F">
        <w:rPr>
          <w:rFonts w:cs="Arial"/>
        </w:rPr>
        <w:t xml:space="preserve">Includes </w:t>
      </w:r>
      <w:r w:rsidR="00367883" w:rsidRPr="0065280F">
        <w:rPr>
          <w:rFonts w:cs="Arial"/>
        </w:rPr>
        <w:t>£</w:t>
      </w:r>
      <w:r w:rsidR="0065280F" w:rsidRPr="0065280F">
        <w:rPr>
          <w:rFonts w:cs="Arial"/>
        </w:rPr>
        <w:t>9.57</w:t>
      </w:r>
      <w:r w:rsidR="00F87E0F" w:rsidRPr="0065280F">
        <w:rPr>
          <w:rFonts w:cs="Arial"/>
        </w:rPr>
        <w:t xml:space="preserve"> million</w:t>
      </w:r>
      <w:r w:rsidR="00367883" w:rsidRPr="0065280F">
        <w:rPr>
          <w:rFonts w:cs="Arial"/>
        </w:rPr>
        <w:t xml:space="preserve"> of efficiencies</w:t>
      </w:r>
      <w:r w:rsidR="0065280F" w:rsidRPr="0065280F">
        <w:rPr>
          <w:rFonts w:cs="Arial"/>
        </w:rPr>
        <w:t xml:space="preserve"> and</w:t>
      </w:r>
      <w:r w:rsidR="00367883" w:rsidRPr="0065280F">
        <w:rPr>
          <w:rFonts w:cs="Arial"/>
        </w:rPr>
        <w:t xml:space="preserve"> increased income </w:t>
      </w:r>
      <w:r w:rsidR="0065280F" w:rsidRPr="0065280F">
        <w:rPr>
          <w:rFonts w:cs="Arial"/>
        </w:rPr>
        <w:t xml:space="preserve">over the </w:t>
      </w:r>
      <w:r w:rsidR="00511CD4">
        <w:rPr>
          <w:rFonts w:cs="Arial"/>
        </w:rPr>
        <w:t>four</w:t>
      </w:r>
      <w:r w:rsidR="0065280F" w:rsidRPr="0065280F">
        <w:rPr>
          <w:rFonts w:cs="Arial"/>
        </w:rPr>
        <w:t xml:space="preserve"> year period with an ongoing increase of £2.77 million </w:t>
      </w:r>
      <w:r w:rsidR="00511CD4">
        <w:rPr>
          <w:rFonts w:cs="Arial"/>
        </w:rPr>
        <w:t>split between efficiencies and income</w:t>
      </w:r>
      <w:r w:rsidR="00511CD4" w:rsidRPr="0065280F">
        <w:rPr>
          <w:rFonts w:cs="Arial"/>
        </w:rPr>
        <w:t xml:space="preserve"> </w:t>
      </w:r>
      <w:r w:rsidR="0065280F" w:rsidRPr="0065280F">
        <w:rPr>
          <w:rFonts w:cs="Arial"/>
        </w:rPr>
        <w:t>onwards from 2024-25</w:t>
      </w:r>
      <w:r w:rsidR="00511CD4">
        <w:rPr>
          <w:rFonts w:cs="Arial"/>
        </w:rPr>
        <w:t xml:space="preserve"> onwards</w:t>
      </w:r>
      <w:r w:rsidR="0065280F" w:rsidRPr="0065280F">
        <w:rPr>
          <w:rFonts w:cs="Arial"/>
        </w:rPr>
        <w:t xml:space="preserve"> </w:t>
      </w:r>
      <w:r w:rsidR="00367883" w:rsidRPr="0065280F">
        <w:rPr>
          <w:rFonts w:cs="Arial"/>
        </w:rPr>
        <w:t>;</w:t>
      </w:r>
    </w:p>
    <w:p w:rsidR="00BF5E24" w:rsidRPr="00BF5E24" w:rsidRDefault="00E153C3" w:rsidP="009312E5">
      <w:pPr>
        <w:pStyle w:val="ListParagraph"/>
        <w:numPr>
          <w:ilvl w:val="0"/>
          <w:numId w:val="2"/>
        </w:numPr>
        <w:ind w:left="1134" w:hanging="567"/>
        <w:rPr>
          <w:rFonts w:cs="Arial"/>
        </w:rPr>
      </w:pPr>
      <w:r>
        <w:rPr>
          <w:rFonts w:cs="Arial"/>
        </w:rPr>
        <w:t>Includes a</w:t>
      </w:r>
      <w:r w:rsidR="00811C54" w:rsidRPr="00BF5E24">
        <w:rPr>
          <w:rFonts w:cs="Arial"/>
        </w:rPr>
        <w:t>ddition</w:t>
      </w:r>
      <w:r>
        <w:rPr>
          <w:rFonts w:cs="Arial"/>
        </w:rPr>
        <w:t>al</w:t>
      </w:r>
      <w:r w:rsidR="00811C54" w:rsidRPr="00BF5E24">
        <w:rPr>
          <w:rFonts w:cs="Arial"/>
        </w:rPr>
        <w:t xml:space="preserve"> spend on reducing carbon emissions over the next four years of </w:t>
      </w:r>
      <w:r w:rsidR="00BF5E24" w:rsidRPr="00BF5E24">
        <w:rPr>
          <w:rFonts w:cs="Arial"/>
        </w:rPr>
        <w:t>over £700k together with £</w:t>
      </w:r>
      <w:r w:rsidR="007E0D2D">
        <w:rPr>
          <w:rFonts w:cs="Arial"/>
        </w:rPr>
        <w:t>5</w:t>
      </w:r>
      <w:r w:rsidR="00BF5E24" w:rsidRPr="00BF5E24">
        <w:rPr>
          <w:rFonts w:cs="Arial"/>
        </w:rPr>
        <w:t xml:space="preserve">0 million </w:t>
      </w:r>
      <w:r w:rsidR="00511CD4">
        <w:rPr>
          <w:rFonts w:cs="Arial"/>
        </w:rPr>
        <w:t xml:space="preserve">to be spent </w:t>
      </w:r>
      <w:r w:rsidR="00BF5E24" w:rsidRPr="00BF5E24">
        <w:rPr>
          <w:rFonts w:cs="Arial"/>
        </w:rPr>
        <w:t>in the next 10 years to be spent on efficiency measures to our council housing stock towards</w:t>
      </w:r>
      <w:r w:rsidR="00511CD4">
        <w:rPr>
          <w:rFonts w:cs="Arial"/>
        </w:rPr>
        <w:t xml:space="preserve"> the Council’s</w:t>
      </w:r>
      <w:r w:rsidR="00BF5E24" w:rsidRPr="00BF5E24">
        <w:rPr>
          <w:rFonts w:cs="Arial"/>
        </w:rPr>
        <w:t xml:space="preserve"> target of 95% of </w:t>
      </w:r>
      <w:r w:rsidR="00511CD4">
        <w:rPr>
          <w:rFonts w:cs="Arial"/>
        </w:rPr>
        <w:t>the</w:t>
      </w:r>
      <w:r w:rsidR="00BF5E24" w:rsidRPr="00BF5E24">
        <w:rPr>
          <w:rFonts w:cs="Arial"/>
        </w:rPr>
        <w:t xml:space="preserve"> stock being EPC ‘C’ or above by 2030.</w:t>
      </w:r>
      <w:r w:rsidR="004434F4" w:rsidRPr="00BF5E24">
        <w:rPr>
          <w:rFonts w:cs="Arial"/>
        </w:rPr>
        <w:t xml:space="preserve"> </w:t>
      </w:r>
    </w:p>
    <w:p w:rsidR="00445622" w:rsidRPr="0065280F" w:rsidRDefault="00E153C3" w:rsidP="009312E5">
      <w:pPr>
        <w:pStyle w:val="ListParagraph"/>
        <w:numPr>
          <w:ilvl w:val="0"/>
          <w:numId w:val="2"/>
        </w:numPr>
        <w:ind w:left="1134" w:hanging="567"/>
        <w:rPr>
          <w:rFonts w:cs="Arial"/>
        </w:rPr>
      </w:pPr>
      <w:r>
        <w:rPr>
          <w:rFonts w:cs="Arial"/>
        </w:rPr>
        <w:t>Includes a</w:t>
      </w:r>
      <w:r w:rsidR="00445622" w:rsidRPr="00BF5E24">
        <w:rPr>
          <w:rFonts w:cs="Arial"/>
        </w:rPr>
        <w:t>dditional ongoing investment into tackling homelessness of £1.</w:t>
      </w:r>
      <w:r w:rsidR="00BF5E24" w:rsidRPr="00BF5E24">
        <w:rPr>
          <w:rFonts w:cs="Arial"/>
        </w:rPr>
        <w:t>5</w:t>
      </w:r>
      <w:r w:rsidR="00445622" w:rsidRPr="00BF5E24">
        <w:rPr>
          <w:rFonts w:cs="Arial"/>
        </w:rPr>
        <w:t xml:space="preserve"> million including the opening of </w:t>
      </w:r>
      <w:r w:rsidR="00C52DEE" w:rsidRPr="00BF5E24">
        <w:rPr>
          <w:rFonts w:cs="Arial"/>
        </w:rPr>
        <w:t xml:space="preserve">a </w:t>
      </w:r>
      <w:r w:rsidR="00445622" w:rsidRPr="00BF5E24">
        <w:rPr>
          <w:rFonts w:cs="Arial"/>
        </w:rPr>
        <w:t xml:space="preserve">new assessment centre and shelter for people </w:t>
      </w:r>
      <w:r w:rsidR="00445622" w:rsidRPr="0065280F">
        <w:rPr>
          <w:rFonts w:cs="Arial"/>
        </w:rPr>
        <w:t>sleeping rough at 1, Floyds Row</w:t>
      </w:r>
    </w:p>
    <w:p w:rsidR="00367883" w:rsidRPr="0065280F" w:rsidRDefault="009829F6" w:rsidP="009312E5">
      <w:pPr>
        <w:pStyle w:val="ListParagraph"/>
        <w:numPr>
          <w:ilvl w:val="0"/>
          <w:numId w:val="2"/>
        </w:numPr>
        <w:shd w:val="clear" w:color="auto" w:fill="FFFFFF"/>
        <w:tabs>
          <w:tab w:val="num" w:pos="1134"/>
        </w:tabs>
        <w:ind w:left="1134" w:hanging="567"/>
        <w:rPr>
          <w:rFonts w:cs="Arial"/>
        </w:rPr>
      </w:pPr>
      <w:r w:rsidRPr="0065280F">
        <w:rPr>
          <w:rFonts w:cs="Arial"/>
        </w:rPr>
        <w:t xml:space="preserve">Facilitates </w:t>
      </w:r>
      <w:r w:rsidR="00367883" w:rsidRPr="0065280F">
        <w:rPr>
          <w:rFonts w:cs="Arial"/>
        </w:rPr>
        <w:t>capital investment o</w:t>
      </w:r>
      <w:r w:rsidR="00AC1E36" w:rsidRPr="0065280F">
        <w:rPr>
          <w:rFonts w:cs="Arial"/>
        </w:rPr>
        <w:t>f</w:t>
      </w:r>
      <w:r w:rsidR="00367883" w:rsidRPr="0065280F">
        <w:rPr>
          <w:rFonts w:cs="Arial"/>
        </w:rPr>
        <w:t xml:space="preserve"> £</w:t>
      </w:r>
      <w:r w:rsidR="009E193C">
        <w:rPr>
          <w:rFonts w:cs="Arial"/>
        </w:rPr>
        <w:t>609</w:t>
      </w:r>
      <w:r w:rsidR="00C33670" w:rsidRPr="0065280F">
        <w:rPr>
          <w:rFonts w:cs="Arial"/>
        </w:rPr>
        <w:t xml:space="preserve"> million</w:t>
      </w:r>
      <w:r w:rsidR="00367883" w:rsidRPr="0065280F">
        <w:rPr>
          <w:rFonts w:cs="Arial"/>
        </w:rPr>
        <w:t xml:space="preserve"> </w:t>
      </w:r>
      <w:r w:rsidR="00C33670" w:rsidRPr="0065280F">
        <w:rPr>
          <w:rFonts w:cs="Arial"/>
        </w:rPr>
        <w:t xml:space="preserve">over the four year period </w:t>
      </w:r>
      <w:r w:rsidRPr="0065280F">
        <w:rPr>
          <w:rFonts w:cs="Arial"/>
        </w:rPr>
        <w:t>including:</w:t>
      </w:r>
    </w:p>
    <w:p w:rsidR="00C33670" w:rsidRPr="0065280F" w:rsidRDefault="00A06FF7" w:rsidP="009312E5">
      <w:pPr>
        <w:pStyle w:val="ListParagraph"/>
        <w:numPr>
          <w:ilvl w:val="2"/>
          <w:numId w:val="2"/>
        </w:numPr>
        <w:ind w:left="1701" w:hanging="567"/>
        <w:rPr>
          <w:rFonts w:cs="Arial"/>
        </w:rPr>
      </w:pPr>
      <w:r w:rsidRPr="0065280F">
        <w:rPr>
          <w:rFonts w:cs="Arial"/>
        </w:rPr>
        <w:t xml:space="preserve">Regeneration </w:t>
      </w:r>
      <w:r w:rsidR="00F97F9F" w:rsidRPr="0065280F">
        <w:rPr>
          <w:rFonts w:cs="Arial"/>
        </w:rPr>
        <w:t xml:space="preserve">in the </w:t>
      </w:r>
      <w:r w:rsidR="00E05A27" w:rsidRPr="0065280F">
        <w:rPr>
          <w:rFonts w:cs="Arial"/>
        </w:rPr>
        <w:t>c</w:t>
      </w:r>
      <w:r w:rsidR="007267E7" w:rsidRPr="0065280F">
        <w:rPr>
          <w:rFonts w:cs="Arial"/>
        </w:rPr>
        <w:t>ity and commercial property purchases of around £</w:t>
      </w:r>
      <w:r w:rsidR="0065280F" w:rsidRPr="0065280F">
        <w:rPr>
          <w:rFonts w:cs="Arial"/>
        </w:rPr>
        <w:t>53</w:t>
      </w:r>
      <w:r w:rsidR="007267E7" w:rsidRPr="0065280F">
        <w:rPr>
          <w:rFonts w:cs="Arial"/>
        </w:rPr>
        <w:t xml:space="preserve"> million</w:t>
      </w:r>
    </w:p>
    <w:p w:rsidR="003E3387" w:rsidRPr="0065280F" w:rsidRDefault="003E3387" w:rsidP="009312E5">
      <w:pPr>
        <w:pStyle w:val="ListParagraph"/>
        <w:numPr>
          <w:ilvl w:val="2"/>
          <w:numId w:val="2"/>
        </w:numPr>
        <w:ind w:left="1701" w:hanging="567"/>
        <w:rPr>
          <w:rFonts w:cs="Arial"/>
        </w:rPr>
      </w:pPr>
      <w:r w:rsidRPr="0065280F">
        <w:rPr>
          <w:rFonts w:cs="Arial"/>
        </w:rPr>
        <w:t xml:space="preserve">Investment in infrastructure </w:t>
      </w:r>
      <w:r w:rsidR="00A041EC" w:rsidRPr="0065280F">
        <w:rPr>
          <w:rFonts w:cs="Arial"/>
        </w:rPr>
        <w:t>of around £1</w:t>
      </w:r>
      <w:r w:rsidR="0065280F" w:rsidRPr="0065280F">
        <w:rPr>
          <w:rFonts w:cs="Arial"/>
        </w:rPr>
        <w:t>4</w:t>
      </w:r>
      <w:r w:rsidR="00A041EC" w:rsidRPr="0065280F">
        <w:rPr>
          <w:rFonts w:cs="Arial"/>
        </w:rPr>
        <w:t xml:space="preserve"> million </w:t>
      </w:r>
      <w:r w:rsidRPr="0065280F">
        <w:rPr>
          <w:rFonts w:cs="Arial"/>
        </w:rPr>
        <w:t>to drive additional income streams from Oxford Direct Services Ltd</w:t>
      </w:r>
      <w:r w:rsidR="00511CD4">
        <w:rPr>
          <w:rFonts w:cs="Arial"/>
        </w:rPr>
        <w:t xml:space="preserve"> (ODSL)</w:t>
      </w:r>
    </w:p>
    <w:p w:rsidR="003E3387" w:rsidRPr="0065280F" w:rsidRDefault="003C5084" w:rsidP="009312E5">
      <w:pPr>
        <w:pStyle w:val="ListParagraph"/>
        <w:numPr>
          <w:ilvl w:val="2"/>
          <w:numId w:val="2"/>
        </w:numPr>
        <w:ind w:left="1701" w:hanging="567"/>
        <w:rPr>
          <w:rFonts w:cs="Arial"/>
        </w:rPr>
      </w:pPr>
      <w:r w:rsidRPr="0065280F">
        <w:rPr>
          <w:rFonts w:cs="Arial"/>
        </w:rPr>
        <w:t>Continued provision of loans</w:t>
      </w:r>
      <w:r w:rsidR="003E3387" w:rsidRPr="0065280F">
        <w:rPr>
          <w:rFonts w:cs="Arial"/>
        </w:rPr>
        <w:t xml:space="preserve"> to </w:t>
      </w:r>
      <w:r w:rsidR="00511CD4">
        <w:rPr>
          <w:rFonts w:cs="Arial"/>
        </w:rPr>
        <w:t xml:space="preserve">(OCHL) </w:t>
      </w:r>
      <w:r w:rsidRPr="0065280F">
        <w:rPr>
          <w:rFonts w:cs="Arial"/>
        </w:rPr>
        <w:t>totalling</w:t>
      </w:r>
      <w:r w:rsidR="003E3387" w:rsidRPr="0065280F">
        <w:rPr>
          <w:rFonts w:cs="Arial"/>
        </w:rPr>
        <w:t xml:space="preserve"> £</w:t>
      </w:r>
      <w:r w:rsidR="009F222D" w:rsidRPr="0065280F">
        <w:rPr>
          <w:rFonts w:cs="Arial"/>
        </w:rPr>
        <w:t>75</w:t>
      </w:r>
      <w:r w:rsidR="003E3387" w:rsidRPr="0065280F">
        <w:rPr>
          <w:rFonts w:cs="Arial"/>
        </w:rPr>
        <w:t xml:space="preserve"> million for the acquisition of houses at Barton</w:t>
      </w:r>
      <w:r w:rsidRPr="0065280F">
        <w:rPr>
          <w:rFonts w:cs="Arial"/>
        </w:rPr>
        <w:t>, minor extensions</w:t>
      </w:r>
      <w:r w:rsidR="00814AEA" w:rsidRPr="0065280F">
        <w:rPr>
          <w:rFonts w:cs="Arial"/>
        </w:rPr>
        <w:t>, acquisitions from the HRA</w:t>
      </w:r>
      <w:r w:rsidRPr="0065280F">
        <w:rPr>
          <w:rFonts w:cs="Arial"/>
        </w:rPr>
        <w:t xml:space="preserve"> and </w:t>
      </w:r>
      <w:r w:rsidR="003E3387" w:rsidRPr="0065280F">
        <w:rPr>
          <w:rFonts w:cs="Arial"/>
        </w:rPr>
        <w:t>new house build</w:t>
      </w:r>
    </w:p>
    <w:p w:rsidR="0098370B" w:rsidRDefault="00AB03E3" w:rsidP="009312E5">
      <w:pPr>
        <w:pStyle w:val="ListParagraph"/>
        <w:numPr>
          <w:ilvl w:val="2"/>
          <w:numId w:val="2"/>
        </w:numPr>
        <w:ind w:left="1701" w:hanging="567"/>
        <w:rPr>
          <w:rFonts w:cs="Arial"/>
        </w:rPr>
      </w:pPr>
      <w:r w:rsidRPr="0065280F">
        <w:rPr>
          <w:rFonts w:cs="Arial"/>
        </w:rPr>
        <w:t>£1</w:t>
      </w:r>
      <w:r w:rsidR="007E0D2D">
        <w:rPr>
          <w:rFonts w:cs="Arial"/>
        </w:rPr>
        <w:t>78</w:t>
      </w:r>
      <w:r w:rsidRPr="0065280F">
        <w:rPr>
          <w:rFonts w:cs="Arial"/>
        </w:rPr>
        <w:t xml:space="preserve"> million of affordable housing purchases by the HRA in the next </w:t>
      </w:r>
      <w:r w:rsidR="00511CD4">
        <w:rPr>
          <w:rFonts w:cs="Arial"/>
        </w:rPr>
        <w:t>four</w:t>
      </w:r>
      <w:r w:rsidRPr="0065280F">
        <w:rPr>
          <w:rFonts w:cs="Arial"/>
        </w:rPr>
        <w:t xml:space="preserve"> years and </w:t>
      </w:r>
      <w:r w:rsidR="0098370B" w:rsidRPr="0065280F">
        <w:rPr>
          <w:rFonts w:cs="Arial"/>
        </w:rPr>
        <w:t>£</w:t>
      </w:r>
      <w:r w:rsidR="00450309" w:rsidRPr="0065280F">
        <w:rPr>
          <w:rFonts w:cs="Arial"/>
        </w:rPr>
        <w:t>3</w:t>
      </w:r>
      <w:r w:rsidR="002E1AD5">
        <w:rPr>
          <w:rFonts w:cs="Arial"/>
        </w:rPr>
        <w:t>93</w:t>
      </w:r>
      <w:r w:rsidR="0098370B" w:rsidRPr="0065280F">
        <w:rPr>
          <w:rFonts w:cs="Arial"/>
        </w:rPr>
        <w:t xml:space="preserve"> million </w:t>
      </w:r>
      <w:r w:rsidR="00450309" w:rsidRPr="0065280F">
        <w:rPr>
          <w:rFonts w:cs="Arial"/>
        </w:rPr>
        <w:t xml:space="preserve">gross </w:t>
      </w:r>
      <w:r w:rsidR="0098370B" w:rsidRPr="0065280F">
        <w:rPr>
          <w:rFonts w:cs="Arial"/>
        </w:rPr>
        <w:t>spend on the purchase o</w:t>
      </w:r>
      <w:r w:rsidR="00C52DEE" w:rsidRPr="0065280F">
        <w:rPr>
          <w:rFonts w:cs="Arial"/>
        </w:rPr>
        <w:t>f</w:t>
      </w:r>
      <w:r w:rsidR="0098370B" w:rsidRPr="0065280F">
        <w:rPr>
          <w:rFonts w:cs="Arial"/>
        </w:rPr>
        <w:t xml:space="preserve"> 1,</w:t>
      </w:r>
      <w:r w:rsidR="0065280F">
        <w:rPr>
          <w:rFonts w:cs="Arial"/>
        </w:rPr>
        <w:t>119</w:t>
      </w:r>
      <w:r w:rsidR="0098370B" w:rsidRPr="0065280F">
        <w:rPr>
          <w:rFonts w:cs="Arial"/>
        </w:rPr>
        <w:t xml:space="preserve"> social housing units in the HRA over the next 10 years</w:t>
      </w:r>
    </w:p>
    <w:p w:rsidR="002E1AD5" w:rsidRPr="0065280F" w:rsidRDefault="00E153C3" w:rsidP="009312E5">
      <w:pPr>
        <w:pStyle w:val="ListParagraph"/>
        <w:numPr>
          <w:ilvl w:val="2"/>
          <w:numId w:val="2"/>
        </w:numPr>
        <w:ind w:left="1701" w:hanging="567"/>
        <w:rPr>
          <w:rFonts w:cs="Arial"/>
        </w:rPr>
      </w:pPr>
      <w:r>
        <w:rPr>
          <w:rFonts w:cs="Arial"/>
        </w:rPr>
        <w:t>P</w:t>
      </w:r>
      <w:r w:rsidR="002E1AD5">
        <w:rPr>
          <w:rFonts w:cs="Arial"/>
        </w:rPr>
        <w:t>rovision for an additional £50 million on climate change works and regeneration of Council housing over the next 10 years</w:t>
      </w:r>
    </w:p>
    <w:p w:rsidR="00C33670" w:rsidRPr="002E1AD5" w:rsidRDefault="00F97F9F" w:rsidP="009312E5">
      <w:pPr>
        <w:pStyle w:val="ListParagraph"/>
        <w:numPr>
          <w:ilvl w:val="2"/>
          <w:numId w:val="2"/>
        </w:numPr>
        <w:ind w:left="1701" w:hanging="567"/>
        <w:rPr>
          <w:rFonts w:cs="Arial"/>
        </w:rPr>
      </w:pPr>
      <w:r w:rsidRPr="002E1AD5">
        <w:rPr>
          <w:rFonts w:cs="Arial"/>
        </w:rPr>
        <w:lastRenderedPageBreak/>
        <w:t>Commu</w:t>
      </w:r>
      <w:r w:rsidR="00CF4EFC" w:rsidRPr="002E1AD5">
        <w:rPr>
          <w:rFonts w:cs="Arial"/>
        </w:rPr>
        <w:t xml:space="preserve">nity Centre </w:t>
      </w:r>
      <w:r w:rsidRPr="002E1AD5">
        <w:rPr>
          <w:rFonts w:cs="Arial"/>
        </w:rPr>
        <w:t>new build an</w:t>
      </w:r>
      <w:r w:rsidR="00FB08E2" w:rsidRPr="002E1AD5">
        <w:rPr>
          <w:rFonts w:cs="Arial"/>
        </w:rPr>
        <w:t>d</w:t>
      </w:r>
      <w:r w:rsidRPr="002E1AD5">
        <w:rPr>
          <w:rFonts w:cs="Arial"/>
        </w:rPr>
        <w:t xml:space="preserve"> refurbishment</w:t>
      </w:r>
      <w:r w:rsidR="002E1AD5" w:rsidRPr="002E1AD5">
        <w:rPr>
          <w:rFonts w:cs="Arial"/>
        </w:rPr>
        <w:t xml:space="preserve"> at East Oxford and </w:t>
      </w:r>
      <w:proofErr w:type="spellStart"/>
      <w:r w:rsidR="002E1AD5" w:rsidRPr="002E1AD5">
        <w:rPr>
          <w:rFonts w:cs="Arial"/>
        </w:rPr>
        <w:t>Bullingdon</w:t>
      </w:r>
      <w:proofErr w:type="spellEnd"/>
    </w:p>
    <w:p w:rsidR="002F2660" w:rsidRPr="002E1AD5" w:rsidRDefault="002F2660" w:rsidP="00E51756">
      <w:pPr>
        <w:pStyle w:val="ListParagraph"/>
        <w:numPr>
          <w:ilvl w:val="2"/>
          <w:numId w:val="2"/>
        </w:numPr>
        <w:ind w:left="1701" w:hanging="567"/>
        <w:rPr>
          <w:rFonts w:cs="Arial"/>
        </w:rPr>
      </w:pPr>
      <w:r w:rsidRPr="002E1AD5">
        <w:rPr>
          <w:rFonts w:cs="Arial"/>
        </w:rPr>
        <w:t>Improvements and refurbishments to council dwellings</w:t>
      </w:r>
      <w:r w:rsidR="002E1AD5" w:rsidRPr="002E1AD5">
        <w:rPr>
          <w:rFonts w:cs="Arial"/>
        </w:rPr>
        <w:t xml:space="preserve"> and </w:t>
      </w:r>
      <w:r w:rsidR="000833D1">
        <w:rPr>
          <w:rFonts w:cs="Arial"/>
        </w:rPr>
        <w:t>r</w:t>
      </w:r>
      <w:r w:rsidR="000833D1" w:rsidRPr="002E1AD5">
        <w:rPr>
          <w:rFonts w:cs="Arial"/>
        </w:rPr>
        <w:t>egeneration</w:t>
      </w:r>
      <w:r w:rsidRPr="002E1AD5">
        <w:rPr>
          <w:rFonts w:cs="Arial"/>
        </w:rPr>
        <w:t xml:space="preserve"> of </w:t>
      </w:r>
      <w:r w:rsidR="00ED6871" w:rsidRPr="002E1AD5">
        <w:rPr>
          <w:rFonts w:cs="Arial"/>
        </w:rPr>
        <w:t>c</w:t>
      </w:r>
      <w:r w:rsidRPr="002E1AD5">
        <w:rPr>
          <w:rFonts w:cs="Arial"/>
        </w:rPr>
        <w:t>ouncil estates</w:t>
      </w:r>
    </w:p>
    <w:p w:rsidR="00245C11" w:rsidRPr="0041193C" w:rsidRDefault="00245C11" w:rsidP="00B80EBF">
      <w:pPr>
        <w:pStyle w:val="ListParagraph"/>
        <w:ind w:left="1985"/>
        <w:rPr>
          <w:rFonts w:cs="Arial"/>
        </w:rPr>
      </w:pPr>
    </w:p>
    <w:p w:rsidR="00E51BBC" w:rsidRPr="00416EFF" w:rsidRDefault="00CC1EE8" w:rsidP="00F7377A">
      <w:pPr>
        <w:pStyle w:val="ListParagraph"/>
        <w:numPr>
          <w:ilvl w:val="0"/>
          <w:numId w:val="8"/>
        </w:numPr>
        <w:ind w:right="386" w:hanging="720"/>
        <w:rPr>
          <w:rFonts w:cs="Arial"/>
        </w:rPr>
      </w:pPr>
      <w:r w:rsidRPr="00416EFF">
        <w:rPr>
          <w:rFonts w:cs="Arial"/>
        </w:rPr>
        <w:t>For ease of reading</w:t>
      </w:r>
      <w:r w:rsidR="00990B0D" w:rsidRPr="00416EFF">
        <w:rPr>
          <w:rFonts w:cs="Arial"/>
        </w:rPr>
        <w:t>;</w:t>
      </w:r>
      <w:r w:rsidRPr="00416EFF">
        <w:rPr>
          <w:rFonts w:cs="Arial"/>
        </w:rPr>
        <w:t xml:space="preserve"> the report is split into four sections </w:t>
      </w:r>
      <w:r w:rsidR="00E51BBC" w:rsidRPr="00416EFF">
        <w:rPr>
          <w:rFonts w:cs="Arial"/>
        </w:rPr>
        <w:t>:</w:t>
      </w:r>
    </w:p>
    <w:p w:rsidR="00427B24" w:rsidRPr="00241E43" w:rsidRDefault="00427B24" w:rsidP="00B80EBF">
      <w:pPr>
        <w:tabs>
          <w:tab w:val="num" w:pos="567"/>
        </w:tabs>
        <w:ind w:left="567" w:right="386"/>
        <w:rPr>
          <w:rFonts w:cs="Arial"/>
        </w:rPr>
      </w:pPr>
    </w:p>
    <w:p w:rsidR="00E51BBC" w:rsidRPr="00241E43" w:rsidRDefault="00427B24" w:rsidP="00416EFF">
      <w:pPr>
        <w:ind w:left="709" w:right="386" w:hanging="567"/>
        <w:rPr>
          <w:rFonts w:cs="Arial"/>
          <w:b/>
        </w:rPr>
      </w:pPr>
      <w:r w:rsidRPr="00241E43">
        <w:rPr>
          <w:rFonts w:cs="Arial"/>
        </w:rPr>
        <w:tab/>
      </w:r>
      <w:r w:rsidR="00C37005">
        <w:rPr>
          <w:rFonts w:cs="Arial"/>
          <w:b/>
        </w:rPr>
        <w:t xml:space="preserve">Section </w:t>
      </w:r>
      <w:proofErr w:type="gramStart"/>
      <w:r w:rsidR="00C37005">
        <w:rPr>
          <w:rFonts w:cs="Arial"/>
          <w:b/>
        </w:rPr>
        <w:t>A</w:t>
      </w:r>
      <w:proofErr w:type="gramEnd"/>
      <w:r w:rsidR="00C37005">
        <w:rPr>
          <w:rFonts w:cs="Arial"/>
          <w:b/>
        </w:rPr>
        <w:t xml:space="preserve"> Economic context, our priorities and budget setting strategy</w:t>
      </w:r>
    </w:p>
    <w:p w:rsidR="00E51BBC" w:rsidRPr="00241E43" w:rsidRDefault="00A06FF7" w:rsidP="00416EFF">
      <w:pPr>
        <w:ind w:left="709" w:right="386" w:hanging="567"/>
        <w:rPr>
          <w:rFonts w:cs="Arial"/>
          <w:b/>
        </w:rPr>
      </w:pPr>
      <w:r w:rsidRPr="00241E43">
        <w:rPr>
          <w:rFonts w:cs="Arial"/>
          <w:b/>
        </w:rPr>
        <w:tab/>
      </w:r>
      <w:r w:rsidR="00E51BBC" w:rsidRPr="00241E43">
        <w:rPr>
          <w:rFonts w:cs="Arial"/>
          <w:b/>
        </w:rPr>
        <w:t>Section B General Fund Revenue Budget</w:t>
      </w:r>
    </w:p>
    <w:p w:rsidR="00E51BBC" w:rsidRPr="00241E43" w:rsidRDefault="00A06FF7" w:rsidP="00416EFF">
      <w:pPr>
        <w:ind w:left="709" w:right="386" w:hanging="567"/>
        <w:rPr>
          <w:rFonts w:cs="Arial"/>
          <w:b/>
        </w:rPr>
      </w:pPr>
      <w:r w:rsidRPr="00241E43">
        <w:rPr>
          <w:rFonts w:cs="Arial"/>
          <w:b/>
        </w:rPr>
        <w:tab/>
      </w:r>
      <w:r w:rsidR="00E51BBC" w:rsidRPr="00241E43">
        <w:rPr>
          <w:rFonts w:cs="Arial"/>
          <w:b/>
        </w:rPr>
        <w:t>Section C</w:t>
      </w:r>
      <w:r w:rsidR="004C07CE" w:rsidRPr="00241E43">
        <w:rPr>
          <w:rFonts w:cs="Arial"/>
          <w:b/>
        </w:rPr>
        <w:t xml:space="preserve"> Housing Revenue A</w:t>
      </w:r>
      <w:r w:rsidR="00E51BBC" w:rsidRPr="00241E43">
        <w:rPr>
          <w:rFonts w:cs="Arial"/>
          <w:b/>
        </w:rPr>
        <w:t>ccount (HRA) Budget</w:t>
      </w:r>
    </w:p>
    <w:p w:rsidR="00E51BBC" w:rsidRPr="00241E43" w:rsidRDefault="004B50C0" w:rsidP="00416EFF">
      <w:pPr>
        <w:ind w:left="709" w:right="386" w:hanging="567"/>
        <w:rPr>
          <w:rFonts w:cs="Arial"/>
          <w:b/>
        </w:rPr>
      </w:pPr>
      <w:r w:rsidRPr="00241E43">
        <w:rPr>
          <w:rFonts w:cs="Arial"/>
          <w:b/>
        </w:rPr>
        <w:tab/>
      </w:r>
      <w:r w:rsidR="00E51BBC" w:rsidRPr="00241E43">
        <w:rPr>
          <w:rFonts w:cs="Arial"/>
          <w:b/>
        </w:rPr>
        <w:t xml:space="preserve">Section D Capital </w:t>
      </w:r>
      <w:r w:rsidR="005C72B1" w:rsidRPr="00241E43">
        <w:rPr>
          <w:rFonts w:cs="Arial"/>
          <w:b/>
        </w:rPr>
        <w:t>Programme</w:t>
      </w:r>
    </w:p>
    <w:p w:rsidR="00FE6AC6" w:rsidRPr="00241E43" w:rsidRDefault="00FE6AC6" w:rsidP="00416EFF">
      <w:pPr>
        <w:tabs>
          <w:tab w:val="num" w:pos="567"/>
          <w:tab w:val="num" w:pos="709"/>
        </w:tabs>
        <w:ind w:left="567" w:right="386" w:hanging="567"/>
        <w:rPr>
          <w:rFonts w:cs="Arial"/>
          <w:b/>
        </w:rPr>
      </w:pPr>
    </w:p>
    <w:p w:rsidR="001718F2" w:rsidRPr="008E6156" w:rsidRDefault="00E51BBC" w:rsidP="008E6156">
      <w:pPr>
        <w:ind w:right="386" w:firstLine="709"/>
        <w:rPr>
          <w:rFonts w:cs="Arial"/>
          <w:b/>
        </w:rPr>
      </w:pPr>
      <w:r w:rsidRPr="008E6156">
        <w:rPr>
          <w:rFonts w:cs="Arial"/>
          <w:b/>
        </w:rPr>
        <w:t xml:space="preserve">Section </w:t>
      </w:r>
      <w:proofErr w:type="gramStart"/>
      <w:r w:rsidRPr="008E6156">
        <w:rPr>
          <w:rFonts w:cs="Arial"/>
          <w:b/>
        </w:rPr>
        <w:t>A</w:t>
      </w:r>
      <w:proofErr w:type="gramEnd"/>
      <w:r w:rsidRPr="008E6156">
        <w:rPr>
          <w:rFonts w:cs="Arial"/>
          <w:b/>
        </w:rPr>
        <w:t xml:space="preserve"> Background and Context</w:t>
      </w:r>
    </w:p>
    <w:p w:rsidR="00E91599" w:rsidRDefault="00E91599" w:rsidP="00B80EBF">
      <w:pPr>
        <w:tabs>
          <w:tab w:val="left" w:pos="360"/>
        </w:tabs>
        <w:ind w:right="386"/>
        <w:rPr>
          <w:rFonts w:cs="Arial"/>
        </w:rPr>
      </w:pPr>
    </w:p>
    <w:p w:rsidR="00902055" w:rsidRPr="00416EFF" w:rsidRDefault="00071B82" w:rsidP="00416EFF">
      <w:pPr>
        <w:pStyle w:val="ListParagraph"/>
        <w:ind w:right="386"/>
        <w:rPr>
          <w:rFonts w:cs="Arial"/>
          <w:b/>
        </w:rPr>
      </w:pPr>
      <w:r w:rsidRPr="00416EFF">
        <w:rPr>
          <w:rFonts w:cs="Arial"/>
          <w:b/>
        </w:rPr>
        <w:t>Background</w:t>
      </w:r>
      <w:r w:rsidR="00AA3E93" w:rsidRPr="00416EFF">
        <w:rPr>
          <w:rFonts w:cs="Arial"/>
          <w:b/>
        </w:rPr>
        <w:t xml:space="preserve"> </w:t>
      </w:r>
    </w:p>
    <w:p w:rsidR="004E7A86" w:rsidRPr="00241E43" w:rsidRDefault="004E7A86" w:rsidP="00B80EBF">
      <w:pPr>
        <w:ind w:left="900" w:right="386" w:hanging="360"/>
        <w:rPr>
          <w:rFonts w:cs="Arial"/>
          <w:b/>
          <w:highlight w:val="yellow"/>
        </w:rPr>
      </w:pPr>
    </w:p>
    <w:p w:rsidR="002507A0" w:rsidRPr="008E6156" w:rsidRDefault="004E7A86" w:rsidP="00F7377A">
      <w:pPr>
        <w:pStyle w:val="ListParagraph"/>
        <w:numPr>
          <w:ilvl w:val="0"/>
          <w:numId w:val="8"/>
        </w:numPr>
        <w:ind w:right="386" w:hanging="720"/>
        <w:rPr>
          <w:rFonts w:cs="Arial"/>
        </w:rPr>
      </w:pPr>
      <w:r w:rsidRPr="008E6156">
        <w:rPr>
          <w:rFonts w:cs="Arial"/>
        </w:rPr>
        <w:t>This report sets out the Council</w:t>
      </w:r>
      <w:r w:rsidR="003969E2" w:rsidRPr="008E6156">
        <w:rPr>
          <w:rFonts w:cs="Arial"/>
        </w:rPr>
        <w:t>’</w:t>
      </w:r>
      <w:r w:rsidRPr="008E6156">
        <w:rPr>
          <w:rFonts w:cs="Arial"/>
        </w:rPr>
        <w:t>s financial plans for the period 20</w:t>
      </w:r>
      <w:r w:rsidR="006B1BD8" w:rsidRPr="008E6156">
        <w:rPr>
          <w:rFonts w:cs="Arial"/>
        </w:rPr>
        <w:t>2</w:t>
      </w:r>
      <w:r w:rsidR="00023727" w:rsidRPr="008E6156">
        <w:rPr>
          <w:rFonts w:cs="Arial"/>
        </w:rPr>
        <w:t>1</w:t>
      </w:r>
      <w:r w:rsidRPr="008E6156">
        <w:rPr>
          <w:rFonts w:cs="Arial"/>
        </w:rPr>
        <w:t>/</w:t>
      </w:r>
      <w:r w:rsidR="0084493A" w:rsidRPr="008E6156">
        <w:rPr>
          <w:rFonts w:cs="Arial"/>
        </w:rPr>
        <w:t>2</w:t>
      </w:r>
      <w:r w:rsidR="00023727" w:rsidRPr="008E6156">
        <w:rPr>
          <w:rFonts w:cs="Arial"/>
        </w:rPr>
        <w:t>2</w:t>
      </w:r>
      <w:r w:rsidRPr="008E6156">
        <w:rPr>
          <w:rFonts w:cs="Arial"/>
        </w:rPr>
        <w:t xml:space="preserve"> to 20</w:t>
      </w:r>
      <w:r w:rsidR="0015339C" w:rsidRPr="008E6156">
        <w:rPr>
          <w:rFonts w:cs="Arial"/>
        </w:rPr>
        <w:t>2</w:t>
      </w:r>
      <w:r w:rsidR="00023727" w:rsidRPr="008E6156">
        <w:rPr>
          <w:rFonts w:cs="Arial"/>
        </w:rPr>
        <w:t>4</w:t>
      </w:r>
      <w:r w:rsidRPr="008E6156">
        <w:rPr>
          <w:rFonts w:cs="Arial"/>
        </w:rPr>
        <w:t>/</w:t>
      </w:r>
      <w:r w:rsidR="00232EDE" w:rsidRPr="008E6156">
        <w:rPr>
          <w:rFonts w:cs="Arial"/>
        </w:rPr>
        <w:t>2</w:t>
      </w:r>
      <w:r w:rsidR="00023727" w:rsidRPr="008E6156">
        <w:rPr>
          <w:rFonts w:cs="Arial"/>
        </w:rPr>
        <w:t>5</w:t>
      </w:r>
      <w:r w:rsidRPr="008E6156">
        <w:rPr>
          <w:rFonts w:cs="Arial"/>
        </w:rPr>
        <w:t xml:space="preserve">. The plans make </w:t>
      </w:r>
      <w:r w:rsidR="008F0D26" w:rsidRPr="008E6156">
        <w:rPr>
          <w:rFonts w:cs="Arial"/>
        </w:rPr>
        <w:t>assumptions</w:t>
      </w:r>
      <w:r w:rsidRPr="008E6156">
        <w:rPr>
          <w:rFonts w:cs="Arial"/>
        </w:rPr>
        <w:t xml:space="preserve"> </w:t>
      </w:r>
      <w:r w:rsidR="003969E2" w:rsidRPr="008E6156">
        <w:rPr>
          <w:rFonts w:cs="Arial"/>
        </w:rPr>
        <w:t>about</w:t>
      </w:r>
      <w:r w:rsidRPr="008E6156">
        <w:rPr>
          <w:rFonts w:cs="Arial"/>
        </w:rPr>
        <w:t xml:space="preserve"> income from Government </w:t>
      </w:r>
      <w:r w:rsidR="0065427B" w:rsidRPr="008E6156">
        <w:rPr>
          <w:rFonts w:cs="Arial"/>
        </w:rPr>
        <w:t>grants</w:t>
      </w:r>
      <w:r w:rsidR="004435EE" w:rsidRPr="008E6156">
        <w:rPr>
          <w:rFonts w:cs="Arial"/>
        </w:rPr>
        <w:t>,</w:t>
      </w:r>
      <w:r w:rsidRPr="008E6156">
        <w:rPr>
          <w:rFonts w:cs="Arial"/>
        </w:rPr>
        <w:t xml:space="preserve"> </w:t>
      </w:r>
      <w:r w:rsidR="004435EE" w:rsidRPr="008F4F7B">
        <w:rPr>
          <w:rFonts w:cs="Arial"/>
        </w:rPr>
        <w:t>C</w:t>
      </w:r>
      <w:r w:rsidRPr="008F4F7B">
        <w:rPr>
          <w:rFonts w:cs="Arial"/>
        </w:rPr>
        <w:t xml:space="preserve">ouncil </w:t>
      </w:r>
      <w:r w:rsidR="004435EE" w:rsidRPr="008F4F7B">
        <w:rPr>
          <w:rFonts w:cs="Arial"/>
        </w:rPr>
        <w:t>T</w:t>
      </w:r>
      <w:r w:rsidRPr="008F4F7B">
        <w:rPr>
          <w:rFonts w:cs="Arial"/>
        </w:rPr>
        <w:t xml:space="preserve">ax </w:t>
      </w:r>
      <w:r w:rsidR="004435EE" w:rsidRPr="008F4F7B">
        <w:rPr>
          <w:rFonts w:cs="Arial"/>
        </w:rPr>
        <w:t>and rents</w:t>
      </w:r>
      <w:r w:rsidRPr="008F4F7B">
        <w:rPr>
          <w:rFonts w:cs="Arial"/>
        </w:rPr>
        <w:t xml:space="preserve">. The plans </w:t>
      </w:r>
      <w:r w:rsidR="004435EE" w:rsidRPr="008F4F7B">
        <w:rPr>
          <w:rFonts w:cs="Arial"/>
        </w:rPr>
        <w:t xml:space="preserve">underpin </w:t>
      </w:r>
      <w:r w:rsidRPr="008F4F7B">
        <w:rPr>
          <w:rFonts w:cs="Arial"/>
        </w:rPr>
        <w:t>service</w:t>
      </w:r>
      <w:r w:rsidR="004435EE" w:rsidRPr="008F4F7B">
        <w:rPr>
          <w:rFonts w:cs="Arial"/>
        </w:rPr>
        <w:t xml:space="preserve"> provision and </w:t>
      </w:r>
      <w:r w:rsidRPr="008F4F7B">
        <w:rPr>
          <w:rFonts w:cs="Arial"/>
        </w:rPr>
        <w:t>the Council</w:t>
      </w:r>
      <w:r w:rsidR="004435EE" w:rsidRPr="008F4F7B">
        <w:rPr>
          <w:rFonts w:cs="Arial"/>
        </w:rPr>
        <w:t xml:space="preserve">’s </w:t>
      </w:r>
      <w:r w:rsidR="000409F1" w:rsidRPr="008F4F7B">
        <w:rPr>
          <w:rFonts w:cs="Arial"/>
        </w:rPr>
        <w:t xml:space="preserve">vision </w:t>
      </w:r>
      <w:r w:rsidRPr="008F4F7B">
        <w:rPr>
          <w:rFonts w:cs="Arial"/>
        </w:rPr>
        <w:t>of “Building a World Class City for Everyone”</w:t>
      </w:r>
      <w:r w:rsidR="000409F1" w:rsidRPr="008F4F7B">
        <w:rPr>
          <w:rFonts w:cs="Arial"/>
        </w:rPr>
        <w:t>.</w:t>
      </w:r>
      <w:r w:rsidRPr="008E6156">
        <w:rPr>
          <w:rFonts w:cs="Arial"/>
        </w:rPr>
        <w:t xml:space="preserve"> </w:t>
      </w:r>
    </w:p>
    <w:p w:rsidR="00E91599" w:rsidRDefault="00E91599" w:rsidP="000F4C48">
      <w:pPr>
        <w:pStyle w:val="ListParagraph"/>
        <w:tabs>
          <w:tab w:val="left" w:pos="450"/>
        </w:tabs>
        <w:ind w:left="426" w:right="386" w:hanging="426"/>
        <w:rPr>
          <w:rFonts w:cs="Arial"/>
          <w:b/>
        </w:rPr>
      </w:pPr>
    </w:p>
    <w:p w:rsidR="00023727" w:rsidRDefault="00023727" w:rsidP="008E6156">
      <w:pPr>
        <w:pStyle w:val="ListParagraph"/>
        <w:tabs>
          <w:tab w:val="left" w:pos="450"/>
        </w:tabs>
        <w:ind w:left="709" w:right="386"/>
        <w:rPr>
          <w:rFonts w:cs="Arial"/>
          <w:b/>
        </w:rPr>
      </w:pPr>
      <w:r>
        <w:rPr>
          <w:rFonts w:cs="Arial"/>
          <w:b/>
        </w:rPr>
        <w:t>Effect of COVID 19</w:t>
      </w:r>
    </w:p>
    <w:p w:rsidR="00023727" w:rsidRDefault="00023727" w:rsidP="008E6156">
      <w:pPr>
        <w:pStyle w:val="ListParagraph"/>
        <w:tabs>
          <w:tab w:val="left" w:pos="450"/>
        </w:tabs>
        <w:ind w:left="709" w:right="386"/>
        <w:rPr>
          <w:rFonts w:cs="Arial"/>
          <w:b/>
        </w:rPr>
      </w:pPr>
    </w:p>
    <w:p w:rsidR="00E153C3" w:rsidRPr="00E153C3" w:rsidRDefault="00023727" w:rsidP="00F7377A">
      <w:pPr>
        <w:pStyle w:val="ListParagraph"/>
        <w:numPr>
          <w:ilvl w:val="0"/>
          <w:numId w:val="8"/>
        </w:numPr>
        <w:ind w:right="386" w:hanging="720"/>
        <w:rPr>
          <w:rFonts w:cs="Arial"/>
          <w:color w:val="0B0C0C"/>
          <w:lang w:eastAsia="en-GB"/>
        </w:rPr>
      </w:pPr>
      <w:r w:rsidRPr="00E153C3">
        <w:rPr>
          <w:rFonts w:cs="Arial"/>
        </w:rPr>
        <w:t>On the 23</w:t>
      </w:r>
      <w:r w:rsidRPr="00E153C3">
        <w:rPr>
          <w:rFonts w:cs="Arial"/>
          <w:vertAlign w:val="superscript"/>
        </w:rPr>
        <w:t>rd</w:t>
      </w:r>
      <w:r w:rsidRPr="00E153C3">
        <w:rPr>
          <w:rFonts w:cs="Arial"/>
        </w:rPr>
        <w:t xml:space="preserve"> March</w:t>
      </w:r>
      <w:r w:rsidR="00511CD4">
        <w:rPr>
          <w:rFonts w:cs="Arial"/>
        </w:rPr>
        <w:t xml:space="preserve"> 2020</w:t>
      </w:r>
      <w:r w:rsidRPr="00E153C3">
        <w:rPr>
          <w:rFonts w:cs="Arial"/>
        </w:rPr>
        <w:t xml:space="preserve"> the Prime Minister announced a lock down in the UK to combat the threat of infection from COVID 19. </w:t>
      </w:r>
      <w:r w:rsidR="00E153C3" w:rsidRPr="00E153C3">
        <w:rPr>
          <w:rFonts w:cs="Arial"/>
        </w:rPr>
        <w:t xml:space="preserve">The following period had seen great disruption to the country’s health, economy and social interaction, and has also seen a major impact on the finances of Oxford City Council. </w:t>
      </w:r>
      <w:r w:rsidR="00E153C3" w:rsidRPr="00E153C3">
        <w:rPr>
          <w:rFonts w:cs="Arial"/>
          <w:color w:val="0B0C0C"/>
          <w:lang w:eastAsia="en-GB"/>
        </w:rPr>
        <w:t>The overall adverse impact on the City Council’s general fund, in this year a</w:t>
      </w:r>
      <w:r w:rsidR="00E153C3">
        <w:rPr>
          <w:rFonts w:cs="Arial"/>
          <w:color w:val="0B0C0C"/>
          <w:lang w:eastAsia="en-GB"/>
        </w:rPr>
        <w:t>lone, is estimated at around £11 million.</w:t>
      </w:r>
    </w:p>
    <w:p w:rsidR="00E04566" w:rsidRPr="00F26290" w:rsidRDefault="00E04566" w:rsidP="00E153C3">
      <w:pPr>
        <w:pStyle w:val="ListParagraph"/>
        <w:ind w:right="386"/>
        <w:rPr>
          <w:rFonts w:cs="Arial"/>
        </w:rPr>
      </w:pPr>
    </w:p>
    <w:p w:rsidR="00023727" w:rsidRPr="00F26290" w:rsidRDefault="00023727" w:rsidP="00E91599">
      <w:pPr>
        <w:pStyle w:val="ListParagraph"/>
        <w:tabs>
          <w:tab w:val="left" w:pos="450"/>
        </w:tabs>
        <w:ind w:left="0" w:right="386"/>
        <w:rPr>
          <w:rFonts w:cs="Arial"/>
        </w:rPr>
      </w:pPr>
    </w:p>
    <w:p w:rsidR="009D6A5F" w:rsidRPr="00F26290" w:rsidRDefault="000D75E5" w:rsidP="00E91599">
      <w:pPr>
        <w:pStyle w:val="ListParagraph"/>
        <w:tabs>
          <w:tab w:val="left" w:pos="450"/>
        </w:tabs>
        <w:ind w:left="0" w:right="386"/>
        <w:rPr>
          <w:rFonts w:cs="Arial"/>
          <w:b/>
        </w:rPr>
      </w:pPr>
      <w:r w:rsidRPr="00F26290">
        <w:rPr>
          <w:rFonts w:cs="Arial"/>
          <w:b/>
        </w:rPr>
        <w:t>National Economic Position</w:t>
      </w:r>
    </w:p>
    <w:p w:rsidR="00F26290" w:rsidRPr="00F26290" w:rsidRDefault="00F26290" w:rsidP="00E91599">
      <w:pPr>
        <w:pStyle w:val="ListParagraph"/>
        <w:tabs>
          <w:tab w:val="left" w:pos="450"/>
        </w:tabs>
        <w:ind w:left="0" w:right="386"/>
        <w:rPr>
          <w:rFonts w:cs="Arial"/>
        </w:rPr>
      </w:pPr>
    </w:p>
    <w:p w:rsidR="00F26290" w:rsidRDefault="003F7C57" w:rsidP="00F7377A">
      <w:pPr>
        <w:pStyle w:val="ListParagraph"/>
        <w:numPr>
          <w:ilvl w:val="0"/>
          <w:numId w:val="9"/>
        </w:numPr>
        <w:ind w:left="709" w:right="386" w:hanging="709"/>
        <w:rPr>
          <w:rFonts w:cs="Arial"/>
        </w:rPr>
      </w:pPr>
      <w:r>
        <w:rPr>
          <w:rFonts w:cs="Arial"/>
        </w:rPr>
        <w:t>This Governments response</w:t>
      </w:r>
      <w:r w:rsidR="00384BE3">
        <w:rPr>
          <w:rFonts w:cs="Arial"/>
        </w:rPr>
        <w:t xml:space="preserve"> to COVID 19 </w:t>
      </w:r>
      <w:r>
        <w:rPr>
          <w:rFonts w:cs="Arial"/>
        </w:rPr>
        <w:t xml:space="preserve">in terms of financial support to business, individuals and public sector bodies has been unprecedented. </w:t>
      </w:r>
      <w:r w:rsidR="00F26290" w:rsidRPr="00F26290">
        <w:rPr>
          <w:rFonts w:cs="Arial"/>
        </w:rPr>
        <w:t xml:space="preserve">By the end of September 2020, half way through the financial year cumulative net borrowing by the Government (PSNB) the difference between expenditure and income had reached £208 billion, </w:t>
      </w:r>
      <w:r w:rsidR="00C26F9D">
        <w:rPr>
          <w:rFonts w:cs="Arial"/>
        </w:rPr>
        <w:t xml:space="preserve">following a </w:t>
      </w:r>
      <w:r w:rsidR="00F26290" w:rsidRPr="00F26290">
        <w:rPr>
          <w:rFonts w:cs="Arial"/>
        </w:rPr>
        <w:t>rise of £36 billion in September. This budget</w:t>
      </w:r>
      <w:r w:rsidR="00C26F9D">
        <w:rPr>
          <w:rFonts w:cs="Arial"/>
        </w:rPr>
        <w:t>ed</w:t>
      </w:r>
      <w:r w:rsidR="00F26290" w:rsidRPr="00F26290">
        <w:rPr>
          <w:rFonts w:cs="Arial"/>
        </w:rPr>
        <w:t xml:space="preserve"> deficit is £174.5 billion up on the position in September 2019</w:t>
      </w:r>
      <w:r w:rsidR="007159D2">
        <w:rPr>
          <w:rFonts w:cs="Arial"/>
        </w:rPr>
        <w:t>.</w:t>
      </w:r>
    </w:p>
    <w:p w:rsidR="00F26290" w:rsidRDefault="00F26290" w:rsidP="005C60C8">
      <w:pPr>
        <w:pStyle w:val="ListParagraph"/>
        <w:ind w:left="709" w:right="386" w:hanging="709"/>
        <w:rPr>
          <w:rFonts w:cs="Arial"/>
        </w:rPr>
      </w:pPr>
    </w:p>
    <w:p w:rsidR="00F26290" w:rsidRPr="00D93703" w:rsidRDefault="00E153C3" w:rsidP="00F7377A">
      <w:pPr>
        <w:pStyle w:val="ListParagraph"/>
        <w:numPr>
          <w:ilvl w:val="0"/>
          <w:numId w:val="9"/>
        </w:numPr>
        <w:ind w:left="709" w:right="386" w:hanging="709"/>
        <w:rPr>
          <w:rFonts w:cs="Arial"/>
        </w:rPr>
      </w:pPr>
      <w:r>
        <w:rPr>
          <w:rFonts w:cs="Arial"/>
        </w:rPr>
        <w:t>Government has undertaken</w:t>
      </w:r>
      <w:r w:rsidRPr="00D93703">
        <w:rPr>
          <w:rFonts w:cs="Arial"/>
        </w:rPr>
        <w:t xml:space="preserve"> </w:t>
      </w:r>
      <w:r w:rsidR="007159D2" w:rsidRPr="00D93703">
        <w:rPr>
          <w:rFonts w:cs="Arial"/>
        </w:rPr>
        <w:t>around 190 measures in response to the crisis including emergency job support, additional NHS funding and business grants</w:t>
      </w:r>
      <w:r w:rsidR="00A25B39" w:rsidRPr="00D93703">
        <w:rPr>
          <w:rFonts w:cs="Arial"/>
        </w:rPr>
        <w:t xml:space="preserve">. Specific schemes introduced </w:t>
      </w:r>
      <w:r w:rsidR="00A3789F" w:rsidRPr="00D93703">
        <w:rPr>
          <w:rFonts w:cs="Arial"/>
        </w:rPr>
        <w:t xml:space="preserve">at the national level </w:t>
      </w:r>
      <w:r w:rsidR="00A25B39" w:rsidRPr="00D93703">
        <w:rPr>
          <w:rFonts w:cs="Arial"/>
        </w:rPr>
        <w:t xml:space="preserve">include </w:t>
      </w:r>
      <w:r w:rsidR="00A3789F" w:rsidRPr="00D93703">
        <w:rPr>
          <w:rFonts w:cs="Arial"/>
        </w:rPr>
        <w:t>:</w:t>
      </w:r>
    </w:p>
    <w:p w:rsidR="007159D2" w:rsidRPr="00D93703" w:rsidRDefault="007159D2" w:rsidP="00E91599">
      <w:pPr>
        <w:pStyle w:val="ListParagraph"/>
        <w:tabs>
          <w:tab w:val="left" w:pos="450"/>
        </w:tabs>
        <w:ind w:left="0" w:right="386"/>
        <w:rPr>
          <w:rFonts w:cs="Arial"/>
        </w:rPr>
      </w:pPr>
    </w:p>
    <w:p w:rsidR="007159D2" w:rsidRPr="00D93703" w:rsidRDefault="007159D2" w:rsidP="00F7377A">
      <w:pPr>
        <w:numPr>
          <w:ilvl w:val="0"/>
          <w:numId w:val="10"/>
        </w:numPr>
        <w:tabs>
          <w:tab w:val="clear" w:pos="720"/>
        </w:tabs>
        <w:spacing w:after="100" w:afterAutospacing="1"/>
        <w:ind w:left="1134" w:hanging="436"/>
        <w:textAlignment w:val="baseline"/>
        <w:rPr>
          <w:rFonts w:cs="Arial"/>
          <w:color w:val="000000"/>
          <w:lang w:eastAsia="en-GB"/>
        </w:rPr>
      </w:pPr>
      <w:r w:rsidRPr="00D93703">
        <w:rPr>
          <w:rFonts w:cs="Arial"/>
          <w:color w:val="000000"/>
          <w:lang w:eastAsia="en-GB"/>
        </w:rPr>
        <w:t xml:space="preserve">a Coronavirus Job Retention Scheme </w:t>
      </w:r>
      <w:r w:rsidR="00A25B39" w:rsidRPr="00D93703">
        <w:rPr>
          <w:rFonts w:cs="Arial"/>
          <w:color w:val="000000"/>
          <w:lang w:eastAsia="en-GB"/>
        </w:rPr>
        <w:t xml:space="preserve">with payments to employers ranging from 60 -80% of earnings subject to a cap, which was </w:t>
      </w:r>
      <w:r w:rsidR="00FB7EA4" w:rsidRPr="00D93703">
        <w:rPr>
          <w:rFonts w:cs="Arial"/>
          <w:color w:val="000000"/>
          <w:lang w:eastAsia="en-GB"/>
        </w:rPr>
        <w:t xml:space="preserve">due to finish on </w:t>
      </w:r>
      <w:r w:rsidR="00A25B39" w:rsidRPr="00D93703">
        <w:rPr>
          <w:rFonts w:cs="Arial"/>
          <w:color w:val="000000"/>
          <w:lang w:eastAsia="en-GB"/>
        </w:rPr>
        <w:t>1</w:t>
      </w:r>
      <w:r w:rsidR="00A25B39" w:rsidRPr="00D93703">
        <w:rPr>
          <w:rFonts w:cs="Arial"/>
          <w:color w:val="000000"/>
          <w:vertAlign w:val="superscript"/>
          <w:lang w:eastAsia="en-GB"/>
        </w:rPr>
        <w:t>St</w:t>
      </w:r>
      <w:r w:rsidR="00A25B39" w:rsidRPr="00D93703">
        <w:rPr>
          <w:rFonts w:cs="Arial"/>
          <w:color w:val="000000"/>
          <w:lang w:eastAsia="en-GB"/>
        </w:rPr>
        <w:t xml:space="preserve"> November 2020 </w:t>
      </w:r>
      <w:r w:rsidR="00FB7EA4" w:rsidRPr="00D93703">
        <w:rPr>
          <w:rFonts w:cs="Arial"/>
          <w:color w:val="000000"/>
          <w:lang w:eastAsia="en-GB"/>
        </w:rPr>
        <w:t xml:space="preserve">but has recently been extended </w:t>
      </w:r>
      <w:proofErr w:type="spellStart"/>
      <w:r w:rsidR="00511CD4">
        <w:rPr>
          <w:rFonts w:cs="Arial"/>
          <w:color w:val="000000"/>
          <w:lang w:eastAsia="en-GB"/>
        </w:rPr>
        <w:t>unitl</w:t>
      </w:r>
      <w:proofErr w:type="spellEnd"/>
      <w:r w:rsidR="00511CD4">
        <w:rPr>
          <w:rFonts w:cs="Arial"/>
          <w:color w:val="000000"/>
          <w:lang w:eastAsia="en-GB"/>
        </w:rPr>
        <w:t xml:space="preserve"> March 2021</w:t>
      </w:r>
      <w:r w:rsidR="00FA3189" w:rsidRPr="00D93703">
        <w:rPr>
          <w:rFonts w:cs="Arial"/>
          <w:color w:val="000000"/>
          <w:lang w:eastAsia="en-GB"/>
        </w:rPr>
        <w:t>. The authority furloughed a number of staff, up to 50 at one point and is expected to receive grant of up to £</w:t>
      </w:r>
      <w:r w:rsidR="00BF5E24" w:rsidRPr="00D93703">
        <w:rPr>
          <w:rFonts w:cs="Arial"/>
          <w:color w:val="000000"/>
          <w:lang w:eastAsia="en-GB"/>
        </w:rPr>
        <w:t>180k</w:t>
      </w:r>
    </w:p>
    <w:p w:rsidR="00A25B39" w:rsidRPr="00D93703" w:rsidRDefault="0032345E" w:rsidP="00F7377A">
      <w:pPr>
        <w:numPr>
          <w:ilvl w:val="0"/>
          <w:numId w:val="10"/>
        </w:numPr>
        <w:tabs>
          <w:tab w:val="clear" w:pos="720"/>
        </w:tabs>
        <w:spacing w:afterAutospacing="1"/>
        <w:ind w:left="1134" w:hanging="436"/>
        <w:textAlignment w:val="baseline"/>
        <w:rPr>
          <w:rFonts w:cs="Arial"/>
          <w:color w:val="000000"/>
          <w:lang w:eastAsia="en-GB"/>
        </w:rPr>
      </w:pPr>
      <w:r w:rsidRPr="00D93703">
        <w:rPr>
          <w:rFonts w:cs="Arial"/>
          <w:color w:val="000000"/>
          <w:lang w:eastAsia="en-GB"/>
        </w:rPr>
        <w:t>Self-employed</w:t>
      </w:r>
      <w:r w:rsidR="00A25B39" w:rsidRPr="00D93703">
        <w:rPr>
          <w:rFonts w:cs="Arial"/>
          <w:color w:val="000000"/>
          <w:lang w:eastAsia="en-GB"/>
        </w:rPr>
        <w:t xml:space="preserve"> income support scheme (SEIS)</w:t>
      </w:r>
    </w:p>
    <w:p w:rsidR="007159D2" w:rsidRPr="00D93703" w:rsidRDefault="007159D2" w:rsidP="00F7377A">
      <w:pPr>
        <w:numPr>
          <w:ilvl w:val="0"/>
          <w:numId w:val="10"/>
        </w:numPr>
        <w:tabs>
          <w:tab w:val="clear" w:pos="720"/>
        </w:tabs>
        <w:spacing w:after="100" w:afterAutospacing="1"/>
        <w:ind w:left="1134" w:hanging="436"/>
        <w:textAlignment w:val="baseline"/>
        <w:rPr>
          <w:rFonts w:cs="Arial"/>
          <w:color w:val="000000"/>
          <w:lang w:eastAsia="en-GB"/>
        </w:rPr>
      </w:pPr>
      <w:r w:rsidRPr="00D93703">
        <w:rPr>
          <w:rFonts w:cs="Arial"/>
          <w:color w:val="000000"/>
          <w:lang w:eastAsia="en-GB"/>
        </w:rPr>
        <w:lastRenderedPageBreak/>
        <w:t>deferring VAT and Income Tax payments</w:t>
      </w:r>
    </w:p>
    <w:p w:rsidR="007159D2" w:rsidRPr="00D93703" w:rsidRDefault="007159D2" w:rsidP="00F7377A">
      <w:pPr>
        <w:numPr>
          <w:ilvl w:val="0"/>
          <w:numId w:val="10"/>
        </w:numPr>
        <w:tabs>
          <w:tab w:val="clear" w:pos="720"/>
        </w:tabs>
        <w:spacing w:after="100" w:afterAutospacing="1"/>
        <w:ind w:left="1134" w:hanging="436"/>
        <w:textAlignment w:val="baseline"/>
        <w:rPr>
          <w:rFonts w:cs="Arial"/>
          <w:color w:val="000000"/>
          <w:lang w:eastAsia="en-GB"/>
        </w:rPr>
      </w:pPr>
      <w:r w:rsidRPr="00D93703">
        <w:rPr>
          <w:rFonts w:cs="Arial"/>
          <w:color w:val="000000"/>
          <w:lang w:eastAsia="en-GB"/>
        </w:rPr>
        <w:t>a Statutory Sick Pay relief package for small and medium sized businesses (SMEs)</w:t>
      </w:r>
    </w:p>
    <w:p w:rsidR="007159D2" w:rsidRPr="00D93703" w:rsidRDefault="007159D2" w:rsidP="00F7377A">
      <w:pPr>
        <w:numPr>
          <w:ilvl w:val="0"/>
          <w:numId w:val="10"/>
        </w:numPr>
        <w:tabs>
          <w:tab w:val="clear" w:pos="720"/>
        </w:tabs>
        <w:spacing w:after="100" w:afterAutospacing="1"/>
        <w:ind w:left="1134" w:hanging="436"/>
        <w:textAlignment w:val="baseline"/>
        <w:rPr>
          <w:rFonts w:cs="Arial"/>
          <w:color w:val="000000"/>
          <w:lang w:eastAsia="en-GB"/>
        </w:rPr>
      </w:pPr>
      <w:r w:rsidRPr="00D93703">
        <w:rPr>
          <w:rFonts w:cs="Arial"/>
          <w:color w:val="000000"/>
          <w:lang w:eastAsia="en-GB"/>
        </w:rPr>
        <w:t>a 12-month business rates holiday for all retail, hospitality, leisure and nursery businesses in England</w:t>
      </w:r>
    </w:p>
    <w:p w:rsidR="007159D2" w:rsidRPr="00D93703" w:rsidRDefault="007159D2" w:rsidP="00F7377A">
      <w:pPr>
        <w:numPr>
          <w:ilvl w:val="0"/>
          <w:numId w:val="10"/>
        </w:numPr>
        <w:tabs>
          <w:tab w:val="clear" w:pos="720"/>
        </w:tabs>
        <w:spacing w:after="100" w:afterAutospacing="1"/>
        <w:ind w:left="1134" w:hanging="436"/>
        <w:textAlignment w:val="baseline"/>
        <w:rPr>
          <w:rFonts w:cs="Arial"/>
          <w:color w:val="000000"/>
          <w:lang w:eastAsia="en-GB"/>
        </w:rPr>
      </w:pPr>
      <w:r w:rsidRPr="00D93703">
        <w:rPr>
          <w:rFonts w:cs="Arial"/>
          <w:color w:val="000000"/>
          <w:lang w:eastAsia="en-GB"/>
        </w:rPr>
        <w:t>small business grant funding of £10,000 for all business in receipt of small business rate relief or rural rate relief</w:t>
      </w:r>
    </w:p>
    <w:p w:rsidR="007159D2" w:rsidRPr="00D93703" w:rsidRDefault="007159D2" w:rsidP="00F7377A">
      <w:pPr>
        <w:numPr>
          <w:ilvl w:val="0"/>
          <w:numId w:val="10"/>
        </w:numPr>
        <w:tabs>
          <w:tab w:val="clear" w:pos="720"/>
        </w:tabs>
        <w:spacing w:after="100" w:afterAutospacing="1"/>
        <w:ind w:left="1134" w:hanging="436"/>
        <w:textAlignment w:val="baseline"/>
        <w:rPr>
          <w:rFonts w:cs="Arial"/>
          <w:color w:val="000000"/>
          <w:lang w:eastAsia="en-GB"/>
        </w:rPr>
      </w:pPr>
      <w:r w:rsidRPr="00D93703">
        <w:rPr>
          <w:rFonts w:cs="Arial"/>
          <w:color w:val="000000"/>
          <w:lang w:eastAsia="en-GB"/>
        </w:rPr>
        <w:t xml:space="preserve">grant funding of </w:t>
      </w:r>
      <w:r w:rsidR="00AA0D4B" w:rsidRPr="00D93703">
        <w:rPr>
          <w:rFonts w:cs="Arial"/>
          <w:color w:val="000000"/>
          <w:lang w:eastAsia="en-GB"/>
        </w:rPr>
        <w:t xml:space="preserve">up to </w:t>
      </w:r>
      <w:r w:rsidRPr="00D93703">
        <w:rPr>
          <w:rFonts w:cs="Arial"/>
          <w:color w:val="000000"/>
          <w:lang w:eastAsia="en-GB"/>
        </w:rPr>
        <w:t>£25,000 for retail, hospitality and leisure businesses with property with a rateable value between £15,000 and £51,000</w:t>
      </w:r>
    </w:p>
    <w:p w:rsidR="007159D2" w:rsidRPr="00D93703" w:rsidRDefault="007159D2" w:rsidP="00F7377A">
      <w:pPr>
        <w:numPr>
          <w:ilvl w:val="0"/>
          <w:numId w:val="10"/>
        </w:numPr>
        <w:tabs>
          <w:tab w:val="clear" w:pos="720"/>
        </w:tabs>
        <w:spacing w:after="100" w:afterAutospacing="1"/>
        <w:ind w:left="1134" w:hanging="436"/>
        <w:textAlignment w:val="baseline"/>
        <w:rPr>
          <w:rFonts w:cs="Arial"/>
          <w:color w:val="000000"/>
          <w:lang w:eastAsia="en-GB"/>
        </w:rPr>
      </w:pPr>
      <w:r w:rsidRPr="00D93703">
        <w:rPr>
          <w:rFonts w:cs="Arial"/>
          <w:color w:val="000000"/>
          <w:lang w:eastAsia="en-GB"/>
        </w:rPr>
        <w:t>the HMRC Time To Pay Scheme</w:t>
      </w:r>
    </w:p>
    <w:p w:rsidR="00A25B39" w:rsidRPr="00D93703" w:rsidRDefault="00A25B39" w:rsidP="00F7377A">
      <w:pPr>
        <w:pStyle w:val="ListParagraph"/>
        <w:numPr>
          <w:ilvl w:val="0"/>
          <w:numId w:val="10"/>
        </w:numPr>
        <w:tabs>
          <w:tab w:val="clear" w:pos="720"/>
        </w:tabs>
        <w:spacing w:afterAutospacing="1"/>
        <w:ind w:left="1134" w:hanging="436"/>
        <w:textAlignment w:val="baseline"/>
        <w:rPr>
          <w:rFonts w:cs="Arial"/>
          <w:color w:val="000000"/>
          <w:lang w:eastAsia="en-GB"/>
        </w:rPr>
      </w:pPr>
      <w:r w:rsidRPr="00D93703">
        <w:rPr>
          <w:rFonts w:cs="Arial"/>
          <w:color w:val="000000"/>
          <w:lang w:eastAsia="en-GB"/>
        </w:rPr>
        <w:t>the Coronavirus Business Interruption Loan Scheme offering Government guaranteed loans of up to £5 million for SMEs through the British Business Bank (“</w:t>
      </w:r>
      <w:r w:rsidRPr="00D93703">
        <w:rPr>
          <w:rFonts w:cs="Arial"/>
          <w:b/>
          <w:bCs/>
          <w:color w:val="000000"/>
          <w:bdr w:val="none" w:sz="0" w:space="0" w:color="auto" w:frame="1"/>
          <w:lang w:eastAsia="en-GB"/>
        </w:rPr>
        <w:t>CBILS</w:t>
      </w:r>
      <w:r w:rsidRPr="00D93703">
        <w:rPr>
          <w:rFonts w:cs="Arial"/>
          <w:color w:val="000000"/>
          <w:lang w:eastAsia="en-GB"/>
        </w:rPr>
        <w:t>”)</w:t>
      </w:r>
    </w:p>
    <w:p w:rsidR="00A25B39" w:rsidRPr="00D93703" w:rsidRDefault="00A25B39" w:rsidP="00F7377A">
      <w:pPr>
        <w:numPr>
          <w:ilvl w:val="0"/>
          <w:numId w:val="10"/>
        </w:numPr>
        <w:tabs>
          <w:tab w:val="clear" w:pos="720"/>
        </w:tabs>
        <w:ind w:left="1134" w:hanging="436"/>
        <w:textAlignment w:val="baseline"/>
        <w:rPr>
          <w:rFonts w:cs="Arial"/>
          <w:color w:val="000000"/>
          <w:lang w:eastAsia="en-GB"/>
        </w:rPr>
      </w:pPr>
      <w:r w:rsidRPr="00D93703">
        <w:rPr>
          <w:rFonts w:cs="Arial"/>
          <w:color w:val="000000"/>
          <w:lang w:eastAsia="en-GB"/>
        </w:rPr>
        <w:t xml:space="preserve">a new lending facility from the Bank of England under its </w:t>
      </w:r>
      <w:proofErr w:type="spellStart"/>
      <w:r w:rsidRPr="00D93703">
        <w:rPr>
          <w:rFonts w:cs="Arial"/>
          <w:color w:val="000000"/>
          <w:lang w:eastAsia="en-GB"/>
        </w:rPr>
        <w:t>Covid</w:t>
      </w:r>
      <w:proofErr w:type="spellEnd"/>
      <w:r w:rsidRPr="00D93703">
        <w:rPr>
          <w:rFonts w:cs="Arial"/>
          <w:color w:val="000000"/>
          <w:lang w:eastAsia="en-GB"/>
        </w:rPr>
        <w:t xml:space="preserve"> </w:t>
      </w:r>
      <w:r w:rsidR="00511CD4">
        <w:rPr>
          <w:rFonts w:cs="Arial"/>
          <w:color w:val="000000"/>
          <w:lang w:eastAsia="en-GB"/>
        </w:rPr>
        <w:t xml:space="preserve">19 </w:t>
      </w:r>
      <w:r w:rsidRPr="00D93703">
        <w:rPr>
          <w:rFonts w:cs="Arial"/>
          <w:color w:val="000000"/>
          <w:lang w:eastAsia="en-GB"/>
        </w:rPr>
        <w:t>Corporate Financing Facility to help support liquidity among larger firms (“</w:t>
      </w:r>
      <w:r w:rsidRPr="00D93703">
        <w:rPr>
          <w:rFonts w:cs="Arial"/>
          <w:b/>
          <w:bCs/>
          <w:color w:val="000000"/>
          <w:bdr w:val="none" w:sz="0" w:space="0" w:color="auto" w:frame="1"/>
          <w:lang w:eastAsia="en-GB"/>
        </w:rPr>
        <w:t>CCFF</w:t>
      </w:r>
      <w:r w:rsidR="00FB7EA4" w:rsidRPr="00D93703">
        <w:rPr>
          <w:rFonts w:cs="Arial"/>
          <w:b/>
          <w:bCs/>
          <w:color w:val="000000"/>
          <w:bdr w:val="none" w:sz="0" w:space="0" w:color="auto" w:frame="1"/>
          <w:lang w:eastAsia="en-GB"/>
        </w:rPr>
        <w:t>”)</w:t>
      </w:r>
    </w:p>
    <w:p w:rsidR="007159D2" w:rsidRPr="00A25B39" w:rsidRDefault="007159D2" w:rsidP="00E91599">
      <w:pPr>
        <w:pStyle w:val="ListParagraph"/>
        <w:tabs>
          <w:tab w:val="left" w:pos="450"/>
        </w:tabs>
        <w:ind w:left="0" w:right="386"/>
        <w:rPr>
          <w:rFonts w:cs="Arial"/>
        </w:rPr>
      </w:pPr>
    </w:p>
    <w:p w:rsidR="00C26F9D" w:rsidRDefault="00A25B39" w:rsidP="00F7377A">
      <w:pPr>
        <w:pStyle w:val="ListParagraph"/>
        <w:numPr>
          <w:ilvl w:val="0"/>
          <w:numId w:val="9"/>
        </w:numPr>
        <w:ind w:left="709" w:right="386" w:hanging="709"/>
        <w:rPr>
          <w:rFonts w:cs="Arial"/>
        </w:rPr>
      </w:pPr>
      <w:r>
        <w:rPr>
          <w:rFonts w:cs="Arial"/>
        </w:rPr>
        <w:t xml:space="preserve">More specifically </w:t>
      </w:r>
      <w:r w:rsidR="00C26F9D">
        <w:rPr>
          <w:rFonts w:cs="Arial"/>
        </w:rPr>
        <w:t>COVID</w:t>
      </w:r>
      <w:r w:rsidR="00511CD4">
        <w:rPr>
          <w:rFonts w:cs="Arial"/>
        </w:rPr>
        <w:t xml:space="preserve"> 19</w:t>
      </w:r>
      <w:r w:rsidR="00C26F9D">
        <w:rPr>
          <w:rFonts w:cs="Arial"/>
        </w:rPr>
        <w:t xml:space="preserve"> funding allocations to date for </w:t>
      </w:r>
      <w:r>
        <w:rPr>
          <w:rFonts w:cs="Arial"/>
        </w:rPr>
        <w:t xml:space="preserve">local Government has been provided in </w:t>
      </w:r>
      <w:r w:rsidR="00C26F9D">
        <w:rPr>
          <w:rFonts w:cs="Arial"/>
        </w:rPr>
        <w:t>the form of :</w:t>
      </w:r>
    </w:p>
    <w:p w:rsidR="00DD17A0" w:rsidRDefault="00DD17A0" w:rsidP="00DD17A0">
      <w:pPr>
        <w:pStyle w:val="ListParagraph"/>
        <w:ind w:left="709" w:right="386"/>
        <w:rPr>
          <w:rFonts w:cs="Arial"/>
        </w:rPr>
      </w:pPr>
    </w:p>
    <w:p w:rsidR="00C26F9D" w:rsidRDefault="00DD17A0" w:rsidP="00E91599">
      <w:pPr>
        <w:pStyle w:val="ListParagraph"/>
        <w:tabs>
          <w:tab w:val="left" w:pos="450"/>
        </w:tabs>
        <w:ind w:left="0" w:right="386"/>
        <w:rPr>
          <w:rFonts w:cs="Arial"/>
          <w:b/>
        </w:rPr>
      </w:pPr>
      <w:r>
        <w:rPr>
          <w:rFonts w:cs="Arial"/>
        </w:rPr>
        <w:tab/>
      </w:r>
      <w:r w:rsidRPr="002056CD">
        <w:rPr>
          <w:rFonts w:cs="Arial"/>
          <w:b/>
        </w:rPr>
        <w:t>G</w:t>
      </w:r>
      <w:r w:rsidR="002056CD" w:rsidRPr="002056CD">
        <w:rPr>
          <w:rFonts w:cs="Arial"/>
          <w:b/>
        </w:rPr>
        <w:t>rants issued to fund city council services</w:t>
      </w:r>
    </w:p>
    <w:p w:rsidR="00D4699E" w:rsidRPr="002056CD" w:rsidRDefault="00D4699E" w:rsidP="00E91599">
      <w:pPr>
        <w:pStyle w:val="ListParagraph"/>
        <w:tabs>
          <w:tab w:val="left" w:pos="450"/>
        </w:tabs>
        <w:ind w:left="0" w:right="386"/>
        <w:rPr>
          <w:rFonts w:cs="Arial"/>
          <w:b/>
        </w:rPr>
      </w:pPr>
    </w:p>
    <w:p w:rsidR="00C26F9D" w:rsidRPr="0032345E" w:rsidRDefault="00A3789F" w:rsidP="00F7377A">
      <w:pPr>
        <w:pStyle w:val="Default"/>
        <w:numPr>
          <w:ilvl w:val="0"/>
          <w:numId w:val="11"/>
        </w:numPr>
        <w:tabs>
          <w:tab w:val="clear" w:pos="720"/>
        </w:tabs>
        <w:ind w:left="1134" w:hanging="425"/>
      </w:pPr>
      <w:proofErr w:type="spellStart"/>
      <w:r w:rsidRPr="0032345E">
        <w:rPr>
          <w:b/>
        </w:rPr>
        <w:t>Unringfenced</w:t>
      </w:r>
      <w:proofErr w:type="spellEnd"/>
      <w:r w:rsidRPr="0032345E">
        <w:rPr>
          <w:b/>
        </w:rPr>
        <w:t xml:space="preserve"> e</w:t>
      </w:r>
      <w:r w:rsidR="00C26F9D" w:rsidRPr="0032345E">
        <w:rPr>
          <w:b/>
        </w:rPr>
        <w:t xml:space="preserve">mergency </w:t>
      </w:r>
      <w:r w:rsidRPr="0032345E">
        <w:rPr>
          <w:b/>
        </w:rPr>
        <w:t>funding allocations</w:t>
      </w:r>
      <w:r w:rsidRPr="0032345E">
        <w:t xml:space="preserve"> totaling £4.5 </w:t>
      </w:r>
      <w:proofErr w:type="spellStart"/>
      <w:r w:rsidRPr="0032345E">
        <w:t>bn</w:t>
      </w:r>
      <w:proofErr w:type="spellEnd"/>
      <w:r w:rsidRPr="0032345E">
        <w:t xml:space="preserve"> provided in </w:t>
      </w:r>
      <w:r w:rsidR="00511CD4">
        <w:t>four</w:t>
      </w:r>
      <w:r w:rsidRPr="0032345E">
        <w:t xml:space="preserve"> tranches and allocated on a range of formula taking account of needs and also acknowledging income pressures in local authorities. Income received by </w:t>
      </w:r>
      <w:r w:rsidR="00511CD4">
        <w:t>the</w:t>
      </w:r>
      <w:r w:rsidRPr="0032345E">
        <w:t xml:space="preserve"> Council to date from this source totals £2.465 million</w:t>
      </w:r>
    </w:p>
    <w:p w:rsidR="004A2C02" w:rsidRPr="0032345E" w:rsidRDefault="004A2C02" w:rsidP="00F7377A">
      <w:pPr>
        <w:pStyle w:val="Default"/>
        <w:numPr>
          <w:ilvl w:val="0"/>
          <w:numId w:val="11"/>
        </w:numPr>
        <w:tabs>
          <w:tab w:val="clear" w:pos="720"/>
        </w:tabs>
        <w:ind w:left="1134" w:hanging="425"/>
      </w:pPr>
      <w:r w:rsidRPr="0032345E">
        <w:rPr>
          <w:b/>
        </w:rPr>
        <w:t xml:space="preserve">Compensation for </w:t>
      </w:r>
      <w:r w:rsidR="00425BD8" w:rsidRPr="0032345E">
        <w:rPr>
          <w:b/>
        </w:rPr>
        <w:t>irrecoverable and unavoidable losses from sales fees and charges</w:t>
      </w:r>
      <w:r w:rsidR="00425BD8" w:rsidRPr="0032345E">
        <w:t xml:space="preserve"> income generated in the delivery of services in the financial year 2020-21. The scheme is based on compensation of 75% of lost income in 2020-21 above a 5% threshold</w:t>
      </w:r>
      <w:r w:rsidR="007172D9" w:rsidRPr="0032345E">
        <w:t>. Subject to a claim form process the compensation for Oxford City based on current forecasts of income losses for 2020-21 is estimated to be around £5 million.</w:t>
      </w:r>
    </w:p>
    <w:p w:rsidR="00C26F9D" w:rsidRPr="0032345E" w:rsidRDefault="00C26F9D" w:rsidP="00F7377A">
      <w:pPr>
        <w:pStyle w:val="Default"/>
        <w:numPr>
          <w:ilvl w:val="0"/>
          <w:numId w:val="11"/>
        </w:numPr>
        <w:tabs>
          <w:tab w:val="clear" w:pos="720"/>
        </w:tabs>
        <w:ind w:left="1134" w:hanging="425"/>
      </w:pPr>
      <w:r w:rsidRPr="0032345E">
        <w:rPr>
          <w:b/>
        </w:rPr>
        <w:t>Hardship Fund</w:t>
      </w:r>
      <w:r w:rsidRPr="0032345E">
        <w:t xml:space="preserve"> </w:t>
      </w:r>
      <w:r w:rsidR="00A3789F" w:rsidRPr="0032345E">
        <w:t xml:space="preserve">- £500million </w:t>
      </w:r>
      <w:r w:rsidR="00523845" w:rsidRPr="0032345E">
        <w:t xml:space="preserve">to enable local authorities to provide further council tax relief to vulnerable </w:t>
      </w:r>
      <w:r w:rsidR="0032345E" w:rsidRPr="0032345E">
        <w:t>families</w:t>
      </w:r>
      <w:r w:rsidR="00523845" w:rsidRPr="0032345E">
        <w:t xml:space="preserve"> </w:t>
      </w:r>
      <w:r w:rsidR="0046474D">
        <w:t>a</w:t>
      </w:r>
      <w:r w:rsidR="00523845" w:rsidRPr="0032345E">
        <w:t xml:space="preserve">ffected by COVID </w:t>
      </w:r>
      <w:r w:rsidR="00511CD4">
        <w:t xml:space="preserve">19 </w:t>
      </w:r>
      <w:r w:rsidR="00523845" w:rsidRPr="0032345E">
        <w:t xml:space="preserve">provided as a discount recommended by the </w:t>
      </w:r>
      <w:r w:rsidR="0032345E" w:rsidRPr="0032345E">
        <w:t>Government</w:t>
      </w:r>
      <w:r w:rsidR="00523845" w:rsidRPr="0032345E">
        <w:t xml:space="preserve"> of up to £150 per family against the council tax liability. </w:t>
      </w:r>
      <w:r w:rsidR="0033567D" w:rsidRPr="0032345E">
        <w:t xml:space="preserve">The Council has </w:t>
      </w:r>
      <w:r w:rsidR="0032345E" w:rsidRPr="0032345E">
        <w:t>received</w:t>
      </w:r>
      <w:r w:rsidR="0033567D" w:rsidRPr="0032345E">
        <w:t xml:space="preserve"> £1.156 million from this grant </w:t>
      </w:r>
    </w:p>
    <w:p w:rsidR="00776878" w:rsidRDefault="00776878" w:rsidP="00F7377A">
      <w:pPr>
        <w:pStyle w:val="Default"/>
        <w:numPr>
          <w:ilvl w:val="0"/>
          <w:numId w:val="11"/>
        </w:numPr>
        <w:tabs>
          <w:tab w:val="clear" w:pos="720"/>
          <w:tab w:val="num" w:pos="1134"/>
        </w:tabs>
        <w:ind w:left="1134" w:hanging="425"/>
      </w:pPr>
      <w:r w:rsidRPr="0032345E">
        <w:rPr>
          <w:b/>
        </w:rPr>
        <w:t xml:space="preserve">Test and Trace payments </w:t>
      </w:r>
      <w:r w:rsidRPr="0032345E">
        <w:t>– Allocations from the Department of Health and Social Care to district Councils consisting of £25 million for payments excluding discretionary payments, £10 million for administration costs and £15 million for discretionary payments with Oxford City’s allocation being £63.5k, £29.5k and £38k respectively.</w:t>
      </w:r>
    </w:p>
    <w:p w:rsidR="002056CD" w:rsidRPr="0032345E" w:rsidRDefault="002056CD" w:rsidP="00F7377A">
      <w:pPr>
        <w:pStyle w:val="Default"/>
        <w:numPr>
          <w:ilvl w:val="0"/>
          <w:numId w:val="11"/>
        </w:numPr>
        <w:tabs>
          <w:tab w:val="clear" w:pos="720"/>
          <w:tab w:val="num" w:pos="1276"/>
        </w:tabs>
        <w:ind w:left="1134" w:hanging="425"/>
      </w:pPr>
      <w:r w:rsidRPr="0032345E">
        <w:rPr>
          <w:b/>
        </w:rPr>
        <w:t xml:space="preserve">Rough Sleeping / Homelessness Funding </w:t>
      </w:r>
      <w:r w:rsidRPr="0032345E">
        <w:t xml:space="preserve">totaling £3.2 million of which </w:t>
      </w:r>
      <w:r w:rsidR="0046474D">
        <w:t>the</w:t>
      </w:r>
      <w:r w:rsidRPr="0032345E">
        <w:t xml:space="preserve"> Council received £32k. The County Council has also agreed to contribute £300k from their COVID</w:t>
      </w:r>
      <w:r w:rsidR="00CD5621">
        <w:t xml:space="preserve"> 19</w:t>
      </w:r>
      <w:r w:rsidRPr="0032345E">
        <w:t xml:space="preserve"> funds recognizing the work undertaken by Oxford City in this area. </w:t>
      </w:r>
    </w:p>
    <w:p w:rsidR="002056CD" w:rsidRPr="0032345E" w:rsidRDefault="002056CD" w:rsidP="00F7377A">
      <w:pPr>
        <w:pStyle w:val="Default"/>
        <w:numPr>
          <w:ilvl w:val="0"/>
          <w:numId w:val="11"/>
        </w:numPr>
        <w:ind w:left="1134" w:hanging="425"/>
      </w:pPr>
      <w:r w:rsidRPr="0032345E">
        <w:rPr>
          <w:b/>
        </w:rPr>
        <w:t xml:space="preserve">Homelessness ‘Protect </w:t>
      </w:r>
      <w:proofErr w:type="spellStart"/>
      <w:r w:rsidRPr="0032345E">
        <w:rPr>
          <w:b/>
        </w:rPr>
        <w:t>programme</w:t>
      </w:r>
      <w:proofErr w:type="spellEnd"/>
      <w:r w:rsidRPr="0032345E">
        <w:rPr>
          <w:b/>
        </w:rPr>
        <w:t xml:space="preserve">’ </w:t>
      </w:r>
      <w:r w:rsidRPr="0032345E">
        <w:t xml:space="preserve">a £13 million allocation of which Oxford City will receive £140k </w:t>
      </w:r>
      <w:r w:rsidRPr="0032345E">
        <w:rPr>
          <w:lang w:val="en"/>
        </w:rPr>
        <w:t xml:space="preserve">to support the ongoing efforts to provide accommodation for rough sleepers during the pandemic. This scheme – called the ‘Protect </w:t>
      </w:r>
      <w:proofErr w:type="spellStart"/>
      <w:r w:rsidRPr="0032345E">
        <w:rPr>
          <w:lang w:val="en"/>
        </w:rPr>
        <w:t>Programme</w:t>
      </w:r>
      <w:proofErr w:type="spellEnd"/>
      <w:r w:rsidRPr="0032345E">
        <w:rPr>
          <w:lang w:val="en"/>
        </w:rPr>
        <w:t>’ – will help areas that need additional support most during the restrictions and throughout winter</w:t>
      </w:r>
    </w:p>
    <w:p w:rsidR="002056CD" w:rsidRPr="0032345E" w:rsidRDefault="002056CD" w:rsidP="00F7377A">
      <w:pPr>
        <w:pStyle w:val="Default"/>
        <w:numPr>
          <w:ilvl w:val="0"/>
          <w:numId w:val="11"/>
        </w:numPr>
        <w:ind w:left="1134" w:hanging="425"/>
      </w:pPr>
      <w:r w:rsidRPr="0032345E">
        <w:rPr>
          <w:b/>
        </w:rPr>
        <w:lastRenderedPageBreak/>
        <w:t xml:space="preserve">Local authority Emergency Assistance Grant for Food and Essential Supplies </w:t>
      </w:r>
      <w:r w:rsidRPr="0032345E">
        <w:rPr>
          <w:color w:val="0B0C0C"/>
          <w:shd w:val="clear" w:color="auto" w:fill="FFFFFF"/>
        </w:rPr>
        <w:t xml:space="preserve">is paid to unitary authorities and shire county councils for local authorities in England to use to support people who are struggling to afford food and other essentials due to COVID-19. </w:t>
      </w:r>
      <w:proofErr w:type="spellStart"/>
      <w:r w:rsidRPr="0032345E">
        <w:rPr>
          <w:color w:val="0B0C0C"/>
          <w:shd w:val="clear" w:color="auto" w:fill="FFFFFF"/>
        </w:rPr>
        <w:t>Oxfordshire</w:t>
      </w:r>
      <w:proofErr w:type="spellEnd"/>
      <w:r w:rsidRPr="0032345E">
        <w:rPr>
          <w:color w:val="0B0C0C"/>
          <w:shd w:val="clear" w:color="auto" w:fill="FFFFFF"/>
        </w:rPr>
        <w:t xml:space="preserve"> County Council received £507k with the share agreed to be allocated to </w:t>
      </w:r>
      <w:r w:rsidR="0046474D">
        <w:rPr>
          <w:color w:val="0B0C0C"/>
          <w:shd w:val="clear" w:color="auto" w:fill="FFFFFF"/>
        </w:rPr>
        <w:t xml:space="preserve">Oxford </w:t>
      </w:r>
      <w:r w:rsidRPr="0032345E">
        <w:rPr>
          <w:color w:val="0B0C0C"/>
          <w:shd w:val="clear" w:color="auto" w:fill="FFFFFF"/>
        </w:rPr>
        <w:t>City Council of £145k calculated on the basis of population and the Index of Multiple Deprivation.</w:t>
      </w:r>
    </w:p>
    <w:p w:rsidR="002056CD" w:rsidRPr="002056CD" w:rsidRDefault="002056CD" w:rsidP="00F7377A">
      <w:pPr>
        <w:pStyle w:val="Default"/>
        <w:numPr>
          <w:ilvl w:val="0"/>
          <w:numId w:val="11"/>
        </w:numPr>
        <w:ind w:left="1134" w:hanging="436"/>
      </w:pPr>
      <w:r w:rsidRPr="0032345E">
        <w:rPr>
          <w:b/>
        </w:rPr>
        <w:t xml:space="preserve">Compliance and Enforcement Grant - £60 million split equally between Police and local authorities </w:t>
      </w:r>
      <w:proofErr w:type="spellStart"/>
      <w:r w:rsidRPr="0032345E">
        <w:t>t</w:t>
      </w:r>
      <w:r w:rsidRPr="0032345E">
        <w:rPr>
          <w:lang w:val="en"/>
        </w:rPr>
        <w:t>o</w:t>
      </w:r>
      <w:proofErr w:type="spellEnd"/>
      <w:r w:rsidRPr="0032345E">
        <w:rPr>
          <w:lang w:val="en"/>
        </w:rPr>
        <w:t xml:space="preserve"> be used for the deployment of COVID-19 secure marshals, or their equivalents, to support compliance. The Councils share is £76,173</w:t>
      </w:r>
    </w:p>
    <w:p w:rsidR="002056CD" w:rsidRPr="0032345E" w:rsidRDefault="002056CD" w:rsidP="00F7377A">
      <w:pPr>
        <w:pStyle w:val="Default"/>
        <w:numPr>
          <w:ilvl w:val="0"/>
          <w:numId w:val="11"/>
        </w:numPr>
        <w:tabs>
          <w:tab w:val="clear" w:pos="720"/>
          <w:tab w:val="num" w:pos="1134"/>
        </w:tabs>
        <w:ind w:left="1134" w:hanging="425"/>
      </w:pPr>
      <w:r w:rsidRPr="0032345E">
        <w:rPr>
          <w:b/>
        </w:rPr>
        <w:t xml:space="preserve">Support to Clinically Extremely Vulnerable – </w:t>
      </w:r>
      <w:r w:rsidRPr="0032345E">
        <w:t>paid to upper tier authorities for the duration of the latest 28 days lock down, based on £14.60 per head for each patient on the Shielded Patient List. It is understood that of 21,000 individuals on this list around 4,000 are in Oxford City and therefore the Council should receive around £60,000 from this support</w:t>
      </w:r>
    </w:p>
    <w:p w:rsidR="00E153C3" w:rsidRPr="0032345E" w:rsidRDefault="002056CD" w:rsidP="00F7377A">
      <w:pPr>
        <w:pStyle w:val="Default"/>
        <w:numPr>
          <w:ilvl w:val="0"/>
          <w:numId w:val="11"/>
        </w:numPr>
        <w:ind w:left="1134" w:hanging="436"/>
      </w:pPr>
      <w:r w:rsidRPr="0032345E">
        <w:rPr>
          <w:b/>
        </w:rPr>
        <w:t xml:space="preserve">Leisure </w:t>
      </w:r>
      <w:proofErr w:type="spellStart"/>
      <w:r w:rsidRPr="0032345E">
        <w:rPr>
          <w:b/>
        </w:rPr>
        <w:t>centres</w:t>
      </w:r>
      <w:proofErr w:type="spellEnd"/>
      <w:r w:rsidRPr="0032345E">
        <w:t xml:space="preserve"> - £100 million funding to help local authorities keep leisure </w:t>
      </w:r>
      <w:proofErr w:type="spellStart"/>
      <w:r w:rsidRPr="0032345E">
        <w:t>centres</w:t>
      </w:r>
      <w:proofErr w:type="spellEnd"/>
      <w:r w:rsidRPr="0032345E">
        <w:t xml:space="preserve"> open with all local authorities receiving a minimum of £100k.</w:t>
      </w:r>
      <w:r w:rsidR="00E153C3">
        <w:t xml:space="preserve"> Oxford’s allocation is yet to be confirmed.</w:t>
      </w:r>
    </w:p>
    <w:p w:rsidR="002056CD" w:rsidRPr="0032345E" w:rsidRDefault="002056CD" w:rsidP="00F7377A">
      <w:pPr>
        <w:pStyle w:val="Default"/>
        <w:numPr>
          <w:ilvl w:val="0"/>
          <w:numId w:val="11"/>
        </w:numPr>
        <w:ind w:left="1134" w:hanging="436"/>
      </w:pPr>
      <w:r w:rsidRPr="0032345E">
        <w:rPr>
          <w:b/>
        </w:rPr>
        <w:t>Re-Opening Streets safely fund</w:t>
      </w:r>
      <w:r w:rsidRPr="0032345E">
        <w:t xml:space="preserve"> of £50 million of which Oxford City received £134k. </w:t>
      </w:r>
    </w:p>
    <w:p w:rsidR="002056CD" w:rsidRPr="0032345E" w:rsidRDefault="002056CD" w:rsidP="002056CD">
      <w:pPr>
        <w:pStyle w:val="Default"/>
        <w:ind w:left="1134"/>
      </w:pPr>
    </w:p>
    <w:p w:rsidR="002056CD" w:rsidRDefault="002056CD" w:rsidP="002056CD">
      <w:pPr>
        <w:pStyle w:val="Default"/>
        <w:ind w:left="1134"/>
      </w:pPr>
    </w:p>
    <w:p w:rsidR="002056CD" w:rsidRPr="0032345E" w:rsidRDefault="002056CD" w:rsidP="002056CD">
      <w:pPr>
        <w:pStyle w:val="Default"/>
        <w:ind w:left="709"/>
      </w:pPr>
      <w:r>
        <w:rPr>
          <w:b/>
        </w:rPr>
        <w:t xml:space="preserve">Grants issued to other </w:t>
      </w:r>
      <w:proofErr w:type="spellStart"/>
      <w:r>
        <w:rPr>
          <w:b/>
        </w:rPr>
        <w:t>organi</w:t>
      </w:r>
      <w:r w:rsidR="0046474D">
        <w:rPr>
          <w:b/>
        </w:rPr>
        <w:t>s</w:t>
      </w:r>
      <w:r>
        <w:rPr>
          <w:b/>
        </w:rPr>
        <w:t>ations</w:t>
      </w:r>
      <w:proofErr w:type="spellEnd"/>
    </w:p>
    <w:p w:rsidR="00C26F9D" w:rsidRPr="0032345E" w:rsidRDefault="0033567D" w:rsidP="00F7377A">
      <w:pPr>
        <w:pStyle w:val="Default"/>
        <w:numPr>
          <w:ilvl w:val="0"/>
          <w:numId w:val="11"/>
        </w:numPr>
        <w:ind w:left="1134" w:hanging="425"/>
      </w:pPr>
      <w:r w:rsidRPr="0032345E">
        <w:rPr>
          <w:b/>
        </w:rPr>
        <w:t xml:space="preserve">Adult social care </w:t>
      </w:r>
      <w:r w:rsidR="00C26F9D" w:rsidRPr="0032345E">
        <w:rPr>
          <w:b/>
        </w:rPr>
        <w:t>Infection Control Funding – Tranche 1-2</w:t>
      </w:r>
      <w:r w:rsidR="00C26F9D" w:rsidRPr="0032345E">
        <w:t xml:space="preserve"> </w:t>
      </w:r>
      <w:r w:rsidRPr="0032345E">
        <w:t xml:space="preserve">– £1.146 </w:t>
      </w:r>
      <w:proofErr w:type="spellStart"/>
      <w:r w:rsidRPr="0032345E">
        <w:t>bn</w:t>
      </w:r>
      <w:proofErr w:type="spellEnd"/>
      <w:r w:rsidRPr="0032345E">
        <w:t xml:space="preserve"> to </w:t>
      </w:r>
      <w:r w:rsidRPr="0032345E">
        <w:rPr>
          <w:color w:val="0B0C0C"/>
          <w:shd w:val="clear" w:color="auto" w:fill="FFFFFF"/>
        </w:rPr>
        <w:t xml:space="preserve">support adult social care providers, including those with whom the local authority does not have a contract, to reduce the rate of COVID-19 transmission within and between care settings, in particular by helping to reduce the need for staff movements between sites. This grant has been paid to </w:t>
      </w:r>
      <w:proofErr w:type="spellStart"/>
      <w:r w:rsidRPr="0032345E">
        <w:rPr>
          <w:color w:val="0B0C0C"/>
          <w:shd w:val="clear" w:color="auto" w:fill="FFFFFF"/>
        </w:rPr>
        <w:t>unitaries</w:t>
      </w:r>
      <w:proofErr w:type="spellEnd"/>
      <w:r w:rsidRPr="0032345E">
        <w:rPr>
          <w:color w:val="0B0C0C"/>
          <w:shd w:val="clear" w:color="auto" w:fill="FFFFFF"/>
        </w:rPr>
        <w:t xml:space="preserve"> and County Councils</w:t>
      </w:r>
      <w:r w:rsidR="009F6F19" w:rsidRPr="0032345E">
        <w:rPr>
          <w:color w:val="0B0C0C"/>
          <w:shd w:val="clear" w:color="auto" w:fill="FFFFFF"/>
        </w:rPr>
        <w:t xml:space="preserve"> with </w:t>
      </w:r>
      <w:proofErr w:type="spellStart"/>
      <w:r w:rsidR="009F6F19" w:rsidRPr="0032345E">
        <w:rPr>
          <w:color w:val="0B0C0C"/>
          <w:shd w:val="clear" w:color="auto" w:fill="FFFFFF"/>
        </w:rPr>
        <w:t>Oxfordshire</w:t>
      </w:r>
      <w:proofErr w:type="spellEnd"/>
      <w:r w:rsidR="009F6F19" w:rsidRPr="0032345E">
        <w:rPr>
          <w:color w:val="0B0C0C"/>
          <w:shd w:val="clear" w:color="auto" w:fill="FFFFFF"/>
        </w:rPr>
        <w:t xml:space="preserve"> County Council receiving £7.3 million</w:t>
      </w:r>
    </w:p>
    <w:p w:rsidR="007172D9" w:rsidRPr="0032345E" w:rsidRDefault="00C26F9D" w:rsidP="00F7377A">
      <w:pPr>
        <w:pStyle w:val="Default"/>
        <w:numPr>
          <w:ilvl w:val="0"/>
          <w:numId w:val="11"/>
        </w:numPr>
        <w:ind w:left="1134" w:hanging="425"/>
      </w:pPr>
      <w:r w:rsidRPr="0032345E">
        <w:rPr>
          <w:b/>
        </w:rPr>
        <w:t>Test and Trace Service Support Grant</w:t>
      </w:r>
      <w:r w:rsidRPr="0032345E">
        <w:t xml:space="preserve"> </w:t>
      </w:r>
      <w:r w:rsidR="0033567D" w:rsidRPr="0032345E">
        <w:t xml:space="preserve">– £300 million distributed to local </w:t>
      </w:r>
      <w:r w:rsidR="002F6A48" w:rsidRPr="0032345E">
        <w:t>authorities</w:t>
      </w:r>
      <w:r w:rsidR="0033567D" w:rsidRPr="0032345E">
        <w:t xml:space="preserve"> </w:t>
      </w:r>
      <w:r w:rsidR="003F4203" w:rsidRPr="0032345E">
        <w:t xml:space="preserve">from the Department of Health and Social Care </w:t>
      </w:r>
      <w:r w:rsidR="0033567D" w:rsidRPr="0032345E">
        <w:t>to help plan for local outbreaks of COVID</w:t>
      </w:r>
      <w:r w:rsidR="00CD5621">
        <w:t xml:space="preserve"> 19</w:t>
      </w:r>
      <w:r w:rsidR="00E75A11" w:rsidRPr="0032345E">
        <w:t xml:space="preserve"> of which £2.858 millio</w:t>
      </w:r>
      <w:r w:rsidR="007172D9" w:rsidRPr="0032345E">
        <w:t xml:space="preserve">n has been issued to </w:t>
      </w:r>
      <w:proofErr w:type="spellStart"/>
      <w:r w:rsidR="007172D9" w:rsidRPr="0032345E">
        <w:t>Oxfordshire</w:t>
      </w:r>
      <w:proofErr w:type="spellEnd"/>
      <w:r w:rsidR="007172D9" w:rsidRPr="0032345E">
        <w:t>.</w:t>
      </w:r>
    </w:p>
    <w:p w:rsidR="000D1E25" w:rsidRPr="00D4699E" w:rsidRDefault="000D1E25" w:rsidP="00F7377A">
      <w:pPr>
        <w:pStyle w:val="Default"/>
        <w:numPr>
          <w:ilvl w:val="0"/>
          <w:numId w:val="11"/>
        </w:numPr>
        <w:ind w:left="1134" w:hanging="436"/>
      </w:pPr>
      <w:r w:rsidRPr="0032345E">
        <w:rPr>
          <w:b/>
        </w:rPr>
        <w:t xml:space="preserve">Contain Outbreak Management Fund - </w:t>
      </w:r>
      <w:r w:rsidRPr="0032345E">
        <w:rPr>
          <w:color w:val="0B0C0C"/>
        </w:rPr>
        <w:t>Upper tier councils in England will receive a one-off payment of £8 per head, worth £465 million overall (including a £20 million supplementary fund), to support local test, trace and contain activities as well as wider measures to protect public health and local economies</w:t>
      </w:r>
    </w:p>
    <w:p w:rsidR="00D4699E" w:rsidRDefault="00D4699E" w:rsidP="00F7377A">
      <w:pPr>
        <w:pStyle w:val="Default"/>
        <w:numPr>
          <w:ilvl w:val="0"/>
          <w:numId w:val="11"/>
        </w:numPr>
        <w:ind w:left="1134" w:hanging="436"/>
      </w:pPr>
      <w:r>
        <w:rPr>
          <w:b/>
        </w:rPr>
        <w:t xml:space="preserve">COVID </w:t>
      </w:r>
      <w:r w:rsidR="00CD5621">
        <w:rPr>
          <w:b/>
        </w:rPr>
        <w:t xml:space="preserve">19 </w:t>
      </w:r>
      <w:r>
        <w:rPr>
          <w:b/>
        </w:rPr>
        <w:t>Winter grants -</w:t>
      </w:r>
      <w:r>
        <w:t xml:space="preserve"> £170million issued to upper tier </w:t>
      </w:r>
      <w:proofErr w:type="spellStart"/>
      <w:r w:rsidR="0046474D">
        <w:t>authorities</w:t>
      </w:r>
      <w:proofErr w:type="spellEnd"/>
      <w:r>
        <w:t xml:space="preserve"> 80% of which will be used to he</w:t>
      </w:r>
      <w:r w:rsidR="000833D1">
        <w:t>l</w:t>
      </w:r>
      <w:r>
        <w:t xml:space="preserve">p families pay for food bills and provide for children over the </w:t>
      </w:r>
      <w:r w:rsidR="000833D1">
        <w:t>holiday</w:t>
      </w:r>
      <w:r>
        <w:t xml:space="preserve"> period</w:t>
      </w:r>
      <w:r w:rsidR="00785202">
        <w:t xml:space="preserve">. £1.3 million issued to </w:t>
      </w:r>
      <w:proofErr w:type="spellStart"/>
      <w:r w:rsidR="00785202">
        <w:t>Oxfordshire</w:t>
      </w:r>
      <w:proofErr w:type="spellEnd"/>
      <w:r w:rsidR="00785202">
        <w:t xml:space="preserve"> County Council</w:t>
      </w:r>
    </w:p>
    <w:p w:rsidR="00D4699E" w:rsidRPr="002056CD" w:rsidRDefault="00D4699E" w:rsidP="00F7377A">
      <w:pPr>
        <w:pStyle w:val="Default"/>
        <w:numPr>
          <w:ilvl w:val="0"/>
          <w:numId w:val="11"/>
        </w:numPr>
        <w:ind w:left="1134" w:hanging="436"/>
      </w:pPr>
      <w:r>
        <w:rPr>
          <w:b/>
        </w:rPr>
        <w:t>Active Travel Fund -</w:t>
      </w:r>
      <w:r>
        <w:t xml:space="preserve"> £175 million issued to local authorities to encourage cycling and walking. Two tranches have already been issued and </w:t>
      </w:r>
      <w:proofErr w:type="spellStart"/>
      <w:r>
        <w:t>Oxfordshire</w:t>
      </w:r>
      <w:proofErr w:type="spellEnd"/>
      <w:r>
        <w:t xml:space="preserve"> County Council have </w:t>
      </w:r>
      <w:r w:rsidR="000833D1">
        <w:t>received</w:t>
      </w:r>
      <w:r>
        <w:t xml:space="preserve"> a total of £3.280 million</w:t>
      </w:r>
    </w:p>
    <w:p w:rsidR="002056CD" w:rsidRDefault="002056CD" w:rsidP="002056CD">
      <w:pPr>
        <w:pStyle w:val="Default"/>
        <w:ind w:left="698"/>
        <w:rPr>
          <w:b/>
        </w:rPr>
      </w:pPr>
    </w:p>
    <w:p w:rsidR="002056CD" w:rsidRDefault="002056CD" w:rsidP="002056CD">
      <w:pPr>
        <w:pStyle w:val="Default"/>
        <w:ind w:left="698"/>
        <w:rPr>
          <w:b/>
        </w:rPr>
      </w:pPr>
      <w:r>
        <w:rPr>
          <w:b/>
        </w:rPr>
        <w:t>Grants issued to billing authorities for payment to local businesses</w:t>
      </w:r>
    </w:p>
    <w:p w:rsidR="00C428E7" w:rsidRPr="0013303B" w:rsidRDefault="00C428E7" w:rsidP="00C428E7">
      <w:pPr>
        <w:ind w:left="698"/>
      </w:pPr>
      <w:r w:rsidRPr="0013303B">
        <w:t xml:space="preserve">In response to the coronavirus pandemic, the Government announced that it would increase the </w:t>
      </w:r>
      <w:r>
        <w:t xml:space="preserve">Business Rates Retail Discount previously agreed for 2019-20 and 2020-21 </w:t>
      </w:r>
      <w:r w:rsidRPr="0013303B">
        <w:t>to 100% and extend it to include the leisure and hospitality sectors.</w:t>
      </w:r>
      <w:r>
        <w:t xml:space="preserve"> </w:t>
      </w:r>
      <w:r w:rsidR="004651D8">
        <w:t xml:space="preserve">In later  </w:t>
      </w:r>
      <w:r>
        <w:t>announcement</w:t>
      </w:r>
      <w:r w:rsidR="004651D8">
        <w:t>s</w:t>
      </w:r>
      <w:r w:rsidR="00ED69C8">
        <w:t>,</w:t>
      </w:r>
      <w:r>
        <w:t xml:space="preserve"> </w:t>
      </w:r>
      <w:r w:rsidR="004651D8">
        <w:t>responding to additional</w:t>
      </w:r>
      <w:r w:rsidRPr="0013303B">
        <w:t xml:space="preserve"> measures to limit the spread of coronavirus, the Government </w:t>
      </w:r>
      <w:r w:rsidR="004651D8">
        <w:t xml:space="preserve">announced </w:t>
      </w:r>
      <w:r>
        <w:t xml:space="preserve">that this ‘Retail’ discount would be </w:t>
      </w:r>
      <w:r>
        <w:lastRenderedPageBreak/>
        <w:t xml:space="preserve">extended </w:t>
      </w:r>
      <w:r w:rsidRPr="0013303B">
        <w:t>so that retail, leisure, and hospitality properties that close</w:t>
      </w:r>
      <w:r>
        <w:t>d</w:t>
      </w:r>
      <w:r w:rsidRPr="0013303B">
        <w:t xml:space="preserve"> as a result of the restriction</w:t>
      </w:r>
      <w:r>
        <w:t>s</w:t>
      </w:r>
      <w:r w:rsidR="00ED69C8">
        <w:t>,</w:t>
      </w:r>
      <w:r w:rsidRPr="0013303B">
        <w:t xml:space="preserve"> </w:t>
      </w:r>
      <w:r>
        <w:t>were</w:t>
      </w:r>
      <w:r w:rsidRPr="0013303B">
        <w:t xml:space="preserve"> now eligible for the relief </w:t>
      </w:r>
      <w:r>
        <w:t>from 2020-21 onwards</w:t>
      </w:r>
      <w:r w:rsidR="004651D8">
        <w:t>,</w:t>
      </w:r>
      <w:r>
        <w:t xml:space="preserve"> with no </w:t>
      </w:r>
      <w:r w:rsidR="00ED69C8">
        <w:t xml:space="preserve">restriction on the </w:t>
      </w:r>
      <w:r>
        <w:t>rateable value limit</w:t>
      </w:r>
      <w:r w:rsidR="00ED69C8">
        <w:t xml:space="preserve">, eligible for the </w:t>
      </w:r>
      <w:r w:rsidRPr="0013303B">
        <w:t>relief.</w:t>
      </w:r>
    </w:p>
    <w:p w:rsidR="003E7BDF" w:rsidRDefault="003E7BDF" w:rsidP="002056CD">
      <w:pPr>
        <w:pStyle w:val="Default"/>
        <w:ind w:left="698"/>
      </w:pPr>
    </w:p>
    <w:p w:rsidR="00C428E7" w:rsidRPr="00ED69C8" w:rsidRDefault="00C428E7" w:rsidP="002056CD">
      <w:pPr>
        <w:pStyle w:val="Default"/>
        <w:ind w:left="698"/>
      </w:pPr>
      <w:r w:rsidRPr="00ED69C8">
        <w:t xml:space="preserve">These grants </w:t>
      </w:r>
      <w:proofErr w:type="gramStart"/>
      <w:r w:rsidRPr="00ED69C8">
        <w:t>included :</w:t>
      </w:r>
      <w:proofErr w:type="gramEnd"/>
    </w:p>
    <w:p w:rsidR="00ED69C8" w:rsidRDefault="002056CD" w:rsidP="00F7377A">
      <w:pPr>
        <w:pStyle w:val="Default"/>
        <w:numPr>
          <w:ilvl w:val="0"/>
          <w:numId w:val="11"/>
        </w:numPr>
        <w:ind w:left="1134" w:hanging="436"/>
      </w:pPr>
      <w:r w:rsidRPr="00ED69C8">
        <w:rPr>
          <w:b/>
        </w:rPr>
        <w:t>Business support grants for businesses in retail hospitality and leisure</w:t>
      </w:r>
      <w:r w:rsidRPr="00ED69C8">
        <w:t xml:space="preserve"> with a </w:t>
      </w:r>
      <w:proofErr w:type="spellStart"/>
      <w:r w:rsidRPr="00ED69C8">
        <w:t>rateable</w:t>
      </w:r>
      <w:proofErr w:type="spellEnd"/>
      <w:r w:rsidRPr="00ED69C8">
        <w:t xml:space="preserve"> value of less than £51k. </w:t>
      </w:r>
    </w:p>
    <w:p w:rsidR="00ED69C8" w:rsidRDefault="00723974" w:rsidP="00F7377A">
      <w:pPr>
        <w:pStyle w:val="Default"/>
        <w:numPr>
          <w:ilvl w:val="0"/>
          <w:numId w:val="11"/>
        </w:numPr>
        <w:tabs>
          <w:tab w:val="clear" w:pos="720"/>
          <w:tab w:val="left" w:pos="1134"/>
        </w:tabs>
        <w:spacing w:line="0" w:lineRule="atLeast"/>
        <w:ind w:left="1134" w:hanging="425"/>
      </w:pPr>
      <w:r w:rsidRPr="00ED69C8">
        <w:rPr>
          <w:b/>
        </w:rPr>
        <w:t xml:space="preserve">Discretionary grant for businesses excluded from the above </w:t>
      </w:r>
      <w:r w:rsidR="00ED69C8">
        <w:t>–</w:t>
      </w:r>
      <w:r w:rsidRPr="00ED69C8">
        <w:t xml:space="preserve"> </w:t>
      </w:r>
    </w:p>
    <w:p w:rsidR="00ED69C8" w:rsidRDefault="00ED69C8" w:rsidP="00ED69C8">
      <w:pPr>
        <w:pStyle w:val="Default"/>
        <w:tabs>
          <w:tab w:val="left" w:pos="1134"/>
        </w:tabs>
        <w:spacing w:line="0" w:lineRule="atLeast"/>
        <w:ind w:left="1134"/>
        <w:rPr>
          <w:b/>
        </w:rPr>
      </w:pPr>
    </w:p>
    <w:p w:rsidR="004651D8" w:rsidRPr="00ED69C8" w:rsidRDefault="00A54032" w:rsidP="00ED69C8">
      <w:pPr>
        <w:pStyle w:val="Default"/>
        <w:spacing w:line="0" w:lineRule="atLeast"/>
        <w:ind w:left="709"/>
        <w:rPr>
          <w:rStyle w:val="Emphasis"/>
          <w:i w:val="0"/>
          <w:iCs w:val="0"/>
        </w:rPr>
      </w:pPr>
      <w:r w:rsidRPr="00ED69C8">
        <w:rPr>
          <w:rStyle w:val="Emphasis"/>
          <w:i w:val="0"/>
          <w:iCs w:val="0"/>
        </w:rPr>
        <w:t xml:space="preserve">Balancing the </w:t>
      </w:r>
      <w:r w:rsidR="00ED69C8">
        <w:rPr>
          <w:rStyle w:val="Emphasis"/>
          <w:i w:val="0"/>
          <w:iCs w:val="0"/>
        </w:rPr>
        <w:t xml:space="preserve">need to </w:t>
      </w:r>
      <w:r w:rsidR="004651D8" w:rsidRPr="00ED69C8">
        <w:rPr>
          <w:rStyle w:val="Emphasis"/>
          <w:i w:val="0"/>
          <w:iCs w:val="0"/>
        </w:rPr>
        <w:t>identify fraud</w:t>
      </w:r>
      <w:r w:rsidR="00ED69C8">
        <w:rPr>
          <w:rStyle w:val="Emphasis"/>
          <w:i w:val="0"/>
          <w:iCs w:val="0"/>
        </w:rPr>
        <w:t xml:space="preserve">ulent and in doing so protect the public purse, </w:t>
      </w:r>
      <w:r w:rsidR="004651D8" w:rsidRPr="00ED69C8">
        <w:rPr>
          <w:rStyle w:val="Emphasis"/>
          <w:i w:val="0"/>
          <w:iCs w:val="0"/>
        </w:rPr>
        <w:t xml:space="preserve"> as opposed to the Governments call to simply make swift payment to any business that applied for the grant, and using Companies House, numerous phone calls and </w:t>
      </w:r>
      <w:proofErr w:type="spellStart"/>
      <w:r w:rsidR="004651D8" w:rsidRPr="00ED69C8">
        <w:rPr>
          <w:rStyle w:val="Emphasis"/>
          <w:i w:val="0"/>
          <w:iCs w:val="0"/>
        </w:rPr>
        <w:t>Councillors</w:t>
      </w:r>
      <w:proofErr w:type="spellEnd"/>
      <w:r w:rsidR="004651D8" w:rsidRPr="00ED69C8">
        <w:rPr>
          <w:rStyle w:val="Emphasis"/>
          <w:i w:val="0"/>
          <w:iCs w:val="0"/>
        </w:rPr>
        <w:t xml:space="preserve"> to identify eligible claimants, the Council made payments of the following :</w:t>
      </w:r>
    </w:p>
    <w:p w:rsidR="004651D8" w:rsidRDefault="004651D8" w:rsidP="003E7BDF">
      <w:pPr>
        <w:tabs>
          <w:tab w:val="left" w:pos="1134"/>
        </w:tabs>
        <w:spacing w:before="75" w:after="75" w:line="375" w:lineRule="atLeast"/>
        <w:ind w:left="698"/>
        <w:rPr>
          <w:rStyle w:val="Emphasis"/>
          <w:i w:val="0"/>
          <w:iCs w:val="0"/>
        </w:rPr>
      </w:pPr>
    </w:p>
    <w:tbl>
      <w:tblPr>
        <w:tblStyle w:val="TableGrid"/>
        <w:tblW w:w="0" w:type="auto"/>
        <w:tblInd w:w="-714" w:type="dxa"/>
        <w:tblLook w:val="04A0" w:firstRow="1" w:lastRow="0" w:firstColumn="1" w:lastColumn="0" w:noHBand="0" w:noVBand="1"/>
      </w:tblPr>
      <w:tblGrid>
        <w:gridCol w:w="3895"/>
        <w:gridCol w:w="1769"/>
        <w:gridCol w:w="1276"/>
        <w:gridCol w:w="1906"/>
        <w:gridCol w:w="1484"/>
      </w:tblGrid>
      <w:tr w:rsidR="00E250EA" w:rsidTr="00E250EA">
        <w:tc>
          <w:tcPr>
            <w:tcW w:w="8905" w:type="dxa"/>
            <w:gridSpan w:val="4"/>
          </w:tcPr>
          <w:p w:rsidR="00E250EA" w:rsidRPr="00E250EA" w:rsidRDefault="00E250EA" w:rsidP="003E7BDF">
            <w:pPr>
              <w:tabs>
                <w:tab w:val="left" w:pos="1134"/>
              </w:tabs>
              <w:spacing w:before="75" w:after="75" w:line="375" w:lineRule="atLeast"/>
              <w:rPr>
                <w:rStyle w:val="Emphasis"/>
                <w:b/>
                <w:i w:val="0"/>
                <w:iCs w:val="0"/>
              </w:rPr>
            </w:pPr>
            <w:r w:rsidRPr="00E250EA">
              <w:rPr>
                <w:rStyle w:val="Emphasis"/>
                <w:b/>
                <w:i w:val="0"/>
                <w:iCs w:val="0"/>
              </w:rPr>
              <w:t>Table 1: Business Grants Paid 2020-21</w:t>
            </w:r>
          </w:p>
        </w:tc>
        <w:tc>
          <w:tcPr>
            <w:tcW w:w="1425" w:type="dxa"/>
          </w:tcPr>
          <w:p w:rsidR="00E250EA" w:rsidRDefault="00E250EA" w:rsidP="003E7BDF">
            <w:pPr>
              <w:tabs>
                <w:tab w:val="left" w:pos="1134"/>
              </w:tabs>
              <w:spacing w:before="75" w:after="75" w:line="375" w:lineRule="atLeast"/>
              <w:rPr>
                <w:rStyle w:val="Emphasis"/>
                <w:i w:val="0"/>
                <w:iCs w:val="0"/>
              </w:rPr>
            </w:pPr>
          </w:p>
        </w:tc>
      </w:tr>
      <w:tr w:rsidR="00E250EA" w:rsidTr="00E250EA">
        <w:tc>
          <w:tcPr>
            <w:tcW w:w="3933" w:type="dxa"/>
          </w:tcPr>
          <w:p w:rsidR="00E250EA" w:rsidRDefault="00E250EA" w:rsidP="003E7BDF">
            <w:pPr>
              <w:tabs>
                <w:tab w:val="left" w:pos="1134"/>
              </w:tabs>
              <w:spacing w:before="75" w:after="75" w:line="375" w:lineRule="atLeast"/>
              <w:rPr>
                <w:rStyle w:val="Emphasis"/>
                <w:i w:val="0"/>
                <w:iCs w:val="0"/>
              </w:rPr>
            </w:pPr>
            <w:r>
              <w:rPr>
                <w:rStyle w:val="Emphasis"/>
                <w:i w:val="0"/>
                <w:iCs w:val="0"/>
              </w:rPr>
              <w:t>Grant</w:t>
            </w:r>
          </w:p>
        </w:tc>
        <w:tc>
          <w:tcPr>
            <w:tcW w:w="1778" w:type="dxa"/>
          </w:tcPr>
          <w:p w:rsidR="00E250EA" w:rsidRDefault="00E250EA" w:rsidP="003E7BDF">
            <w:pPr>
              <w:tabs>
                <w:tab w:val="left" w:pos="1134"/>
              </w:tabs>
              <w:spacing w:before="75" w:after="75" w:line="375" w:lineRule="atLeast"/>
              <w:rPr>
                <w:rStyle w:val="Emphasis"/>
                <w:i w:val="0"/>
                <w:iCs w:val="0"/>
              </w:rPr>
            </w:pPr>
            <w:r>
              <w:rPr>
                <w:rStyle w:val="Emphasis"/>
                <w:i w:val="0"/>
                <w:iCs w:val="0"/>
              </w:rPr>
              <w:t xml:space="preserve">Allocation </w:t>
            </w:r>
          </w:p>
          <w:p w:rsidR="00E250EA" w:rsidRDefault="00E250EA" w:rsidP="004651D8">
            <w:pPr>
              <w:tabs>
                <w:tab w:val="left" w:pos="1134"/>
              </w:tabs>
              <w:spacing w:before="75" w:after="75" w:line="375" w:lineRule="atLeast"/>
              <w:rPr>
                <w:rStyle w:val="Emphasis"/>
                <w:i w:val="0"/>
                <w:iCs w:val="0"/>
              </w:rPr>
            </w:pPr>
            <w:r>
              <w:rPr>
                <w:rStyle w:val="Emphasis"/>
                <w:i w:val="0"/>
                <w:iCs w:val="0"/>
              </w:rPr>
              <w:t>£m’s</w:t>
            </w:r>
          </w:p>
        </w:tc>
        <w:tc>
          <w:tcPr>
            <w:tcW w:w="1280" w:type="dxa"/>
          </w:tcPr>
          <w:p w:rsidR="00E250EA" w:rsidRDefault="00E250EA" w:rsidP="004651D8">
            <w:pPr>
              <w:tabs>
                <w:tab w:val="left" w:pos="1134"/>
              </w:tabs>
              <w:spacing w:before="75" w:after="75" w:line="375" w:lineRule="atLeast"/>
              <w:rPr>
                <w:rStyle w:val="Emphasis"/>
                <w:i w:val="0"/>
                <w:iCs w:val="0"/>
              </w:rPr>
            </w:pPr>
            <w:r>
              <w:rPr>
                <w:rStyle w:val="Emphasis"/>
                <w:i w:val="0"/>
                <w:iCs w:val="0"/>
              </w:rPr>
              <w:t>Amount Paid £m’s</w:t>
            </w:r>
          </w:p>
        </w:tc>
        <w:tc>
          <w:tcPr>
            <w:tcW w:w="1914" w:type="dxa"/>
          </w:tcPr>
          <w:p w:rsidR="00E250EA" w:rsidRDefault="00E250EA" w:rsidP="004651D8">
            <w:pPr>
              <w:tabs>
                <w:tab w:val="left" w:pos="1134"/>
              </w:tabs>
              <w:spacing w:before="75" w:after="75" w:line="375" w:lineRule="atLeast"/>
              <w:rPr>
                <w:rStyle w:val="Emphasis"/>
                <w:i w:val="0"/>
                <w:iCs w:val="0"/>
              </w:rPr>
            </w:pPr>
            <w:r>
              <w:rPr>
                <w:rStyle w:val="Emphasis"/>
                <w:i w:val="0"/>
                <w:iCs w:val="0"/>
              </w:rPr>
              <w:t>Nos of Businesses Paid</w:t>
            </w:r>
          </w:p>
        </w:tc>
        <w:tc>
          <w:tcPr>
            <w:tcW w:w="1425" w:type="dxa"/>
          </w:tcPr>
          <w:p w:rsidR="00E250EA" w:rsidRDefault="00E250EA" w:rsidP="004651D8">
            <w:pPr>
              <w:tabs>
                <w:tab w:val="left" w:pos="1134"/>
              </w:tabs>
              <w:spacing w:before="75" w:after="75" w:line="375" w:lineRule="atLeast"/>
              <w:rPr>
                <w:rStyle w:val="Emphasis"/>
                <w:i w:val="0"/>
                <w:iCs w:val="0"/>
              </w:rPr>
            </w:pPr>
            <w:r>
              <w:rPr>
                <w:rStyle w:val="Emphasis"/>
                <w:i w:val="0"/>
                <w:iCs w:val="0"/>
              </w:rPr>
              <w:t>Rejected applications</w:t>
            </w:r>
          </w:p>
          <w:p w:rsidR="00E250EA" w:rsidRDefault="00E250EA" w:rsidP="004651D8">
            <w:pPr>
              <w:tabs>
                <w:tab w:val="left" w:pos="1134"/>
              </w:tabs>
              <w:spacing w:before="75" w:after="75" w:line="375" w:lineRule="atLeast"/>
              <w:rPr>
                <w:rStyle w:val="Emphasis"/>
                <w:i w:val="0"/>
                <w:iCs w:val="0"/>
              </w:rPr>
            </w:pPr>
          </w:p>
        </w:tc>
      </w:tr>
      <w:tr w:rsidR="00E250EA" w:rsidTr="00E250EA">
        <w:tc>
          <w:tcPr>
            <w:tcW w:w="3933" w:type="dxa"/>
          </w:tcPr>
          <w:p w:rsidR="00E250EA" w:rsidRDefault="00E250EA" w:rsidP="003E7BDF">
            <w:pPr>
              <w:tabs>
                <w:tab w:val="left" w:pos="1134"/>
              </w:tabs>
              <w:spacing w:before="75" w:after="75" w:line="375" w:lineRule="atLeast"/>
              <w:rPr>
                <w:rStyle w:val="Emphasis"/>
                <w:i w:val="0"/>
                <w:iCs w:val="0"/>
              </w:rPr>
            </w:pPr>
            <w:r>
              <w:rPr>
                <w:rStyle w:val="Emphasis"/>
                <w:i w:val="0"/>
                <w:iCs w:val="0"/>
              </w:rPr>
              <w:t>Business Support Grants</w:t>
            </w:r>
          </w:p>
        </w:tc>
        <w:tc>
          <w:tcPr>
            <w:tcW w:w="1778" w:type="dxa"/>
          </w:tcPr>
          <w:p w:rsidR="00E250EA" w:rsidRDefault="00E250EA" w:rsidP="004651D8">
            <w:pPr>
              <w:tabs>
                <w:tab w:val="left" w:pos="1134"/>
              </w:tabs>
              <w:spacing w:before="75" w:after="75" w:line="375" w:lineRule="atLeast"/>
              <w:jc w:val="right"/>
              <w:rPr>
                <w:rStyle w:val="Emphasis"/>
                <w:i w:val="0"/>
                <w:iCs w:val="0"/>
              </w:rPr>
            </w:pPr>
            <w:r>
              <w:rPr>
                <w:rStyle w:val="Emphasis"/>
                <w:i w:val="0"/>
                <w:iCs w:val="0"/>
              </w:rPr>
              <w:t>25.3</w:t>
            </w:r>
          </w:p>
        </w:tc>
        <w:tc>
          <w:tcPr>
            <w:tcW w:w="1280" w:type="dxa"/>
          </w:tcPr>
          <w:p w:rsidR="00E250EA" w:rsidRDefault="00E250EA" w:rsidP="004651D8">
            <w:pPr>
              <w:tabs>
                <w:tab w:val="left" w:pos="1134"/>
              </w:tabs>
              <w:spacing w:before="75" w:after="75" w:line="375" w:lineRule="atLeast"/>
              <w:jc w:val="right"/>
              <w:rPr>
                <w:rStyle w:val="Emphasis"/>
                <w:i w:val="0"/>
                <w:iCs w:val="0"/>
              </w:rPr>
            </w:pPr>
            <w:r>
              <w:rPr>
                <w:rStyle w:val="Emphasis"/>
                <w:i w:val="0"/>
                <w:iCs w:val="0"/>
              </w:rPr>
              <w:t>25.2</w:t>
            </w:r>
          </w:p>
        </w:tc>
        <w:tc>
          <w:tcPr>
            <w:tcW w:w="1914" w:type="dxa"/>
          </w:tcPr>
          <w:p w:rsidR="00E250EA" w:rsidRDefault="00E250EA" w:rsidP="004651D8">
            <w:pPr>
              <w:tabs>
                <w:tab w:val="left" w:pos="1134"/>
              </w:tabs>
              <w:spacing w:before="75" w:after="75" w:line="375" w:lineRule="atLeast"/>
              <w:jc w:val="right"/>
              <w:rPr>
                <w:rStyle w:val="Emphasis"/>
                <w:i w:val="0"/>
                <w:iCs w:val="0"/>
              </w:rPr>
            </w:pPr>
            <w:r>
              <w:rPr>
                <w:rStyle w:val="Emphasis"/>
                <w:i w:val="0"/>
                <w:iCs w:val="0"/>
              </w:rPr>
              <w:t>1,568</w:t>
            </w:r>
          </w:p>
        </w:tc>
        <w:tc>
          <w:tcPr>
            <w:tcW w:w="1425" w:type="dxa"/>
          </w:tcPr>
          <w:p w:rsidR="00E250EA" w:rsidRDefault="00E250EA" w:rsidP="004651D8">
            <w:pPr>
              <w:tabs>
                <w:tab w:val="left" w:pos="1134"/>
              </w:tabs>
              <w:spacing w:before="75" w:after="75" w:line="375" w:lineRule="atLeast"/>
              <w:jc w:val="right"/>
              <w:rPr>
                <w:rStyle w:val="Emphasis"/>
                <w:i w:val="0"/>
                <w:iCs w:val="0"/>
              </w:rPr>
            </w:pPr>
            <w:r>
              <w:rPr>
                <w:rStyle w:val="Emphasis"/>
                <w:i w:val="0"/>
                <w:iCs w:val="0"/>
              </w:rPr>
              <w:t>558</w:t>
            </w:r>
          </w:p>
        </w:tc>
      </w:tr>
      <w:tr w:rsidR="00E250EA" w:rsidTr="00E250EA">
        <w:tc>
          <w:tcPr>
            <w:tcW w:w="3933" w:type="dxa"/>
          </w:tcPr>
          <w:p w:rsidR="00E250EA" w:rsidRDefault="00E250EA" w:rsidP="003E7BDF">
            <w:pPr>
              <w:tabs>
                <w:tab w:val="left" w:pos="1134"/>
              </w:tabs>
              <w:spacing w:before="75" w:after="75" w:line="375" w:lineRule="atLeast"/>
              <w:rPr>
                <w:rStyle w:val="Emphasis"/>
                <w:i w:val="0"/>
                <w:iCs w:val="0"/>
              </w:rPr>
            </w:pPr>
            <w:r>
              <w:rPr>
                <w:rStyle w:val="Emphasis"/>
                <w:i w:val="0"/>
                <w:iCs w:val="0"/>
              </w:rPr>
              <w:t>Discretionary Business Support Grant</w:t>
            </w:r>
          </w:p>
        </w:tc>
        <w:tc>
          <w:tcPr>
            <w:tcW w:w="1778" w:type="dxa"/>
          </w:tcPr>
          <w:p w:rsidR="00E250EA" w:rsidRDefault="00E250EA" w:rsidP="004651D8">
            <w:pPr>
              <w:tabs>
                <w:tab w:val="left" w:pos="1134"/>
              </w:tabs>
              <w:spacing w:before="75" w:after="75" w:line="375" w:lineRule="atLeast"/>
              <w:jc w:val="right"/>
              <w:rPr>
                <w:rStyle w:val="Emphasis"/>
                <w:i w:val="0"/>
                <w:iCs w:val="0"/>
              </w:rPr>
            </w:pPr>
            <w:r>
              <w:rPr>
                <w:rStyle w:val="Emphasis"/>
                <w:i w:val="0"/>
                <w:iCs w:val="0"/>
              </w:rPr>
              <w:t>1.4</w:t>
            </w:r>
          </w:p>
        </w:tc>
        <w:tc>
          <w:tcPr>
            <w:tcW w:w="1280" w:type="dxa"/>
          </w:tcPr>
          <w:p w:rsidR="00E250EA" w:rsidRDefault="00E250EA" w:rsidP="004651D8">
            <w:pPr>
              <w:tabs>
                <w:tab w:val="left" w:pos="1134"/>
              </w:tabs>
              <w:spacing w:before="75" w:after="75" w:line="375" w:lineRule="atLeast"/>
              <w:jc w:val="right"/>
              <w:rPr>
                <w:rStyle w:val="Emphasis"/>
                <w:i w:val="0"/>
                <w:iCs w:val="0"/>
              </w:rPr>
            </w:pPr>
            <w:r>
              <w:rPr>
                <w:rStyle w:val="Emphasis"/>
                <w:i w:val="0"/>
                <w:iCs w:val="0"/>
              </w:rPr>
              <w:t>1.4</w:t>
            </w:r>
          </w:p>
        </w:tc>
        <w:tc>
          <w:tcPr>
            <w:tcW w:w="1914" w:type="dxa"/>
          </w:tcPr>
          <w:p w:rsidR="00E250EA" w:rsidRDefault="00E250EA" w:rsidP="004651D8">
            <w:pPr>
              <w:tabs>
                <w:tab w:val="left" w:pos="1134"/>
              </w:tabs>
              <w:spacing w:before="75" w:after="75" w:line="375" w:lineRule="atLeast"/>
              <w:jc w:val="right"/>
              <w:rPr>
                <w:rStyle w:val="Emphasis"/>
                <w:i w:val="0"/>
                <w:iCs w:val="0"/>
              </w:rPr>
            </w:pPr>
            <w:r>
              <w:rPr>
                <w:rStyle w:val="Emphasis"/>
                <w:i w:val="0"/>
                <w:iCs w:val="0"/>
              </w:rPr>
              <w:t>233</w:t>
            </w:r>
          </w:p>
        </w:tc>
        <w:tc>
          <w:tcPr>
            <w:tcW w:w="1425" w:type="dxa"/>
          </w:tcPr>
          <w:p w:rsidR="00E250EA" w:rsidRDefault="00E250EA" w:rsidP="004651D8">
            <w:pPr>
              <w:tabs>
                <w:tab w:val="left" w:pos="1134"/>
              </w:tabs>
              <w:spacing w:before="75" w:after="75" w:line="375" w:lineRule="atLeast"/>
              <w:jc w:val="right"/>
              <w:rPr>
                <w:rStyle w:val="Emphasis"/>
                <w:i w:val="0"/>
                <w:iCs w:val="0"/>
              </w:rPr>
            </w:pPr>
            <w:r>
              <w:rPr>
                <w:rStyle w:val="Emphasis"/>
                <w:i w:val="0"/>
                <w:iCs w:val="0"/>
              </w:rPr>
              <w:t>302</w:t>
            </w:r>
          </w:p>
        </w:tc>
      </w:tr>
    </w:tbl>
    <w:p w:rsidR="00C428E7" w:rsidRDefault="004651D8" w:rsidP="003E7BDF">
      <w:pPr>
        <w:tabs>
          <w:tab w:val="left" w:pos="1134"/>
        </w:tabs>
        <w:spacing w:before="75" w:after="75" w:line="375" w:lineRule="atLeast"/>
        <w:ind w:left="698"/>
        <w:rPr>
          <w:rStyle w:val="Emphasis"/>
          <w:i w:val="0"/>
          <w:iCs w:val="0"/>
        </w:rPr>
      </w:pPr>
      <w:r>
        <w:rPr>
          <w:rStyle w:val="Emphasis"/>
          <w:i w:val="0"/>
          <w:iCs w:val="0"/>
        </w:rPr>
        <w:t xml:space="preserve"> </w:t>
      </w:r>
    </w:p>
    <w:p w:rsidR="003E7BDF" w:rsidRPr="001741D0" w:rsidRDefault="003E7BDF" w:rsidP="003E7BDF">
      <w:pPr>
        <w:tabs>
          <w:tab w:val="left" w:pos="1134"/>
        </w:tabs>
        <w:spacing w:before="75" w:after="75" w:line="375" w:lineRule="atLeast"/>
        <w:ind w:left="698"/>
        <w:rPr>
          <w:rStyle w:val="Emphasis"/>
          <w:b/>
          <w:i w:val="0"/>
          <w:iCs w:val="0"/>
        </w:rPr>
      </w:pPr>
      <w:r w:rsidRPr="001741D0">
        <w:rPr>
          <w:rStyle w:val="Emphasis"/>
          <w:b/>
          <w:i w:val="0"/>
          <w:iCs w:val="0"/>
        </w:rPr>
        <w:t xml:space="preserve">Government Local Restrictions </w:t>
      </w:r>
      <w:r w:rsidR="001741D0" w:rsidRPr="001741D0">
        <w:rPr>
          <w:rStyle w:val="Emphasis"/>
          <w:b/>
          <w:i w:val="0"/>
          <w:iCs w:val="0"/>
        </w:rPr>
        <w:t>Grant</w:t>
      </w:r>
    </w:p>
    <w:p w:rsidR="001741D0" w:rsidRDefault="001741D0" w:rsidP="001741D0">
      <w:pPr>
        <w:tabs>
          <w:tab w:val="left" w:pos="1134"/>
        </w:tabs>
        <w:spacing w:line="0" w:lineRule="atLeast"/>
        <w:ind w:left="697"/>
        <w:rPr>
          <w:rStyle w:val="Emphasis"/>
          <w:i w:val="0"/>
          <w:iCs w:val="0"/>
        </w:rPr>
      </w:pPr>
      <w:r>
        <w:rPr>
          <w:rStyle w:val="Emphasis"/>
          <w:i w:val="0"/>
          <w:iCs w:val="0"/>
        </w:rPr>
        <w:t xml:space="preserve">More recently the Government has issued grants to provide businesses with financial support during 3 tier system of local restrictions and also the national lock restrictions as </w:t>
      </w:r>
      <w:proofErr w:type="gramStart"/>
      <w:r>
        <w:rPr>
          <w:rStyle w:val="Emphasis"/>
          <w:i w:val="0"/>
          <w:iCs w:val="0"/>
        </w:rPr>
        <w:t>follows :</w:t>
      </w:r>
      <w:proofErr w:type="gramEnd"/>
    </w:p>
    <w:p w:rsidR="00ED69C8" w:rsidRPr="003E7BDF" w:rsidRDefault="00ED69C8" w:rsidP="001741D0">
      <w:pPr>
        <w:tabs>
          <w:tab w:val="left" w:pos="1134"/>
        </w:tabs>
        <w:spacing w:line="0" w:lineRule="atLeast"/>
        <w:ind w:left="697"/>
        <w:rPr>
          <w:rStyle w:val="Emphasis"/>
          <w:i w:val="0"/>
          <w:iCs w:val="0"/>
        </w:rPr>
      </w:pPr>
    </w:p>
    <w:p w:rsidR="007E58A3" w:rsidRDefault="007E58A3" w:rsidP="00F7377A">
      <w:pPr>
        <w:pStyle w:val="ListParagraph"/>
        <w:numPr>
          <w:ilvl w:val="0"/>
          <w:numId w:val="11"/>
        </w:numPr>
        <w:tabs>
          <w:tab w:val="clear" w:pos="720"/>
          <w:tab w:val="left" w:pos="1134"/>
        </w:tabs>
        <w:spacing w:line="0" w:lineRule="atLeast"/>
        <w:ind w:left="1134" w:hanging="425"/>
      </w:pPr>
      <w:r w:rsidRPr="007E58A3">
        <w:rPr>
          <w:rStyle w:val="Emphasis"/>
          <w:b/>
          <w:i w:val="0"/>
        </w:rPr>
        <w:t>Local Restrictions Support Grant (closed) or LRSG(C</w:t>
      </w:r>
      <w:proofErr w:type="gramStart"/>
      <w:r w:rsidRPr="007E58A3">
        <w:rPr>
          <w:rStyle w:val="Emphasis"/>
          <w:b/>
          <w:i w:val="0"/>
        </w:rPr>
        <w:t>)</w:t>
      </w:r>
      <w:r w:rsidRPr="007E58A3">
        <w:rPr>
          <w:rStyle w:val="Emphasis"/>
        </w:rPr>
        <w:t xml:space="preserve">  </w:t>
      </w:r>
      <w:r>
        <w:rPr>
          <w:rStyle w:val="Emphasis"/>
        </w:rPr>
        <w:t>-</w:t>
      </w:r>
      <w:proofErr w:type="gramEnd"/>
      <w:r w:rsidRPr="007E58A3">
        <w:rPr>
          <w:color w:val="0B0C0C"/>
        </w:rPr>
        <w:t>This is a</w:t>
      </w:r>
      <w:r w:rsidRPr="007E58A3">
        <w:rPr>
          <w:color w:val="0B0C0C"/>
          <w:u w:val="single"/>
        </w:rPr>
        <w:t xml:space="preserve"> </w:t>
      </w:r>
      <w:r w:rsidRPr="007E58A3">
        <w:rPr>
          <w:color w:val="0B0C0C"/>
        </w:rPr>
        <w:t>mandatory grant</w:t>
      </w:r>
      <w:r>
        <w:rPr>
          <w:color w:val="0B0C0C"/>
          <w:u w:val="single"/>
        </w:rPr>
        <w:t xml:space="preserve"> </w:t>
      </w:r>
      <w:r w:rsidRPr="00431A7C">
        <w:t>for busine</w:t>
      </w:r>
      <w:r>
        <w:t xml:space="preserve">sses that have a rateable value for businesses closed due to local or national restrictions. </w:t>
      </w:r>
      <w:r w:rsidRPr="00431A7C">
        <w:t>During this period a single grant to cover the four-week period will be paid to each eligible business.</w:t>
      </w:r>
      <w:r>
        <w:t xml:space="preserve"> </w:t>
      </w:r>
      <w:r w:rsidR="0046474D">
        <w:t>The C</w:t>
      </w:r>
      <w:r>
        <w:t>ouncil have been awarded £3.4million to pay to businesses</w:t>
      </w:r>
    </w:p>
    <w:p w:rsidR="007E58A3" w:rsidRDefault="007E58A3" w:rsidP="00F7377A">
      <w:pPr>
        <w:pStyle w:val="NoSpacing"/>
        <w:numPr>
          <w:ilvl w:val="0"/>
          <w:numId w:val="11"/>
        </w:numPr>
        <w:tabs>
          <w:tab w:val="clear" w:pos="720"/>
          <w:tab w:val="num" w:pos="1134"/>
        </w:tabs>
        <w:ind w:left="1134" w:hanging="425"/>
        <w:rPr>
          <w:rFonts w:ascii="Arial" w:hAnsi="Arial" w:cs="Arial"/>
          <w:sz w:val="24"/>
          <w:szCs w:val="24"/>
        </w:rPr>
      </w:pPr>
      <w:r w:rsidRPr="007E58A3">
        <w:rPr>
          <w:rFonts w:ascii="Arial" w:hAnsi="Arial" w:cs="Arial"/>
          <w:b/>
          <w:sz w:val="24"/>
          <w:szCs w:val="24"/>
        </w:rPr>
        <w:t>Additional restrictions grant</w:t>
      </w:r>
      <w:r w:rsidRPr="007E58A3">
        <w:rPr>
          <w:rFonts w:ascii="Arial" w:hAnsi="Arial" w:cs="Arial"/>
          <w:sz w:val="24"/>
          <w:szCs w:val="24"/>
        </w:rPr>
        <w:t xml:space="preserve"> -</w:t>
      </w:r>
      <w:r w:rsidRPr="00F554E6">
        <w:rPr>
          <w:rFonts w:ascii="Arial" w:hAnsi="Arial" w:cs="Arial"/>
          <w:sz w:val="24"/>
          <w:szCs w:val="24"/>
        </w:rPr>
        <w:t xml:space="preserve">The Government will provide one-off funding of £1.1 billion to councils in England, distributed on the basis of £20 per head of population (ONS 2019 </w:t>
      </w:r>
      <w:r>
        <w:rPr>
          <w:rFonts w:ascii="Arial" w:hAnsi="Arial" w:cs="Arial"/>
          <w:sz w:val="24"/>
          <w:szCs w:val="24"/>
        </w:rPr>
        <w:t>Mid-Year Population Estimates)</w:t>
      </w:r>
      <w:r w:rsidRPr="00F554E6">
        <w:rPr>
          <w:rFonts w:ascii="Arial" w:hAnsi="Arial" w:cs="Arial"/>
          <w:sz w:val="24"/>
          <w:szCs w:val="24"/>
        </w:rPr>
        <w:t xml:space="preserve">, to enable councils to support businesses over the coming months more broadly, who are a key part of the local economy. </w:t>
      </w:r>
      <w:r w:rsidRPr="00F32B2A">
        <w:rPr>
          <w:rFonts w:ascii="Arial" w:hAnsi="Arial" w:cs="Arial"/>
          <w:sz w:val="24"/>
          <w:szCs w:val="24"/>
        </w:rPr>
        <w:t xml:space="preserve">The total allocation for </w:t>
      </w:r>
      <w:r w:rsidR="0046474D">
        <w:rPr>
          <w:rFonts w:ascii="Arial" w:hAnsi="Arial" w:cs="Arial"/>
          <w:sz w:val="24"/>
          <w:szCs w:val="24"/>
        </w:rPr>
        <w:t xml:space="preserve">the </w:t>
      </w:r>
      <w:r w:rsidRPr="00F32B2A">
        <w:rPr>
          <w:rFonts w:ascii="Arial" w:hAnsi="Arial" w:cs="Arial"/>
          <w:sz w:val="24"/>
          <w:szCs w:val="24"/>
        </w:rPr>
        <w:t>Council is £3,049,140</w:t>
      </w:r>
      <w:r>
        <w:rPr>
          <w:rFonts w:cs="Arial"/>
        </w:rPr>
        <w:t xml:space="preserve"> </w:t>
      </w:r>
      <w:r w:rsidR="0046474D">
        <w:rPr>
          <w:rFonts w:ascii="Arial" w:hAnsi="Arial" w:cs="Arial"/>
          <w:sz w:val="24"/>
          <w:szCs w:val="24"/>
        </w:rPr>
        <w:t xml:space="preserve">and </w:t>
      </w:r>
      <w:r w:rsidRPr="00472DF9">
        <w:rPr>
          <w:rFonts w:ascii="Arial" w:hAnsi="Arial" w:cs="Arial"/>
          <w:sz w:val="24"/>
          <w:szCs w:val="24"/>
        </w:rPr>
        <w:t xml:space="preserve">will initially cover the national lockdown </w:t>
      </w:r>
      <w:r w:rsidR="0046474D">
        <w:rPr>
          <w:rFonts w:ascii="Arial" w:hAnsi="Arial" w:cs="Arial"/>
          <w:sz w:val="24"/>
          <w:szCs w:val="24"/>
        </w:rPr>
        <w:t>four</w:t>
      </w:r>
      <w:r w:rsidRPr="00472DF9">
        <w:rPr>
          <w:rFonts w:ascii="Arial" w:hAnsi="Arial" w:cs="Arial"/>
          <w:sz w:val="24"/>
          <w:szCs w:val="24"/>
        </w:rPr>
        <w:t xml:space="preserve"> week period and will be available to Oxford businesses in the retail, hospitality, leisure, accommodation or </w:t>
      </w:r>
      <w:r>
        <w:rPr>
          <w:rFonts w:ascii="Arial" w:hAnsi="Arial" w:cs="Arial"/>
          <w:sz w:val="24"/>
          <w:szCs w:val="24"/>
        </w:rPr>
        <w:t>night-time economy sectors that do not have a rateable value but whose business has been severely impacted</w:t>
      </w:r>
      <w:r w:rsidR="0046474D">
        <w:rPr>
          <w:rFonts w:ascii="Arial" w:hAnsi="Arial" w:cs="Arial"/>
          <w:sz w:val="24"/>
          <w:szCs w:val="24"/>
        </w:rPr>
        <w:t xml:space="preserve"> by the lockdown.</w:t>
      </w:r>
    </w:p>
    <w:p w:rsidR="00DD17A0" w:rsidRDefault="007E58A3" w:rsidP="00F7377A">
      <w:pPr>
        <w:pStyle w:val="NoSpacing"/>
        <w:numPr>
          <w:ilvl w:val="0"/>
          <w:numId w:val="11"/>
        </w:numPr>
        <w:ind w:left="1134" w:hanging="425"/>
        <w:rPr>
          <w:rFonts w:ascii="Arial" w:hAnsi="Arial" w:cs="Arial"/>
          <w:sz w:val="24"/>
          <w:szCs w:val="24"/>
        </w:rPr>
      </w:pPr>
      <w:r w:rsidRPr="007E58A3">
        <w:rPr>
          <w:rFonts w:ascii="Arial" w:hAnsi="Arial" w:cs="Arial"/>
          <w:b/>
          <w:iCs/>
          <w:sz w:val="24"/>
          <w:szCs w:val="24"/>
        </w:rPr>
        <w:lastRenderedPageBreak/>
        <w:t xml:space="preserve">Local Restrictions Support Grant (Open) </w:t>
      </w:r>
      <w:r w:rsidRPr="007E58A3">
        <w:rPr>
          <w:rFonts w:ascii="Arial" w:hAnsi="Arial" w:cs="Arial"/>
          <w:b/>
          <w:sz w:val="24"/>
          <w:szCs w:val="24"/>
        </w:rPr>
        <w:t>(Grants provision prior to 5</w:t>
      </w:r>
      <w:r w:rsidRPr="007E58A3">
        <w:rPr>
          <w:rFonts w:ascii="Arial" w:hAnsi="Arial" w:cs="Arial"/>
          <w:b/>
          <w:sz w:val="24"/>
          <w:szCs w:val="24"/>
          <w:vertAlign w:val="superscript"/>
        </w:rPr>
        <w:t>th</w:t>
      </w:r>
      <w:r w:rsidRPr="007E58A3">
        <w:rPr>
          <w:rFonts w:ascii="Arial" w:hAnsi="Arial" w:cs="Arial"/>
          <w:b/>
          <w:sz w:val="24"/>
          <w:szCs w:val="24"/>
        </w:rPr>
        <w:t xml:space="preserve"> November</w:t>
      </w:r>
      <w:r w:rsidR="0046474D">
        <w:rPr>
          <w:rFonts w:ascii="Arial" w:hAnsi="Arial" w:cs="Arial"/>
          <w:b/>
          <w:sz w:val="24"/>
          <w:szCs w:val="24"/>
        </w:rPr>
        <w:t xml:space="preserve"> 2020</w:t>
      </w:r>
      <w:r w:rsidRPr="007E58A3">
        <w:rPr>
          <w:rFonts w:ascii="Arial" w:hAnsi="Arial" w:cs="Arial"/>
          <w:b/>
          <w:sz w:val="24"/>
          <w:szCs w:val="24"/>
        </w:rPr>
        <w:t>) LRSG (Open)</w:t>
      </w:r>
      <w:r w:rsidR="00DD17A0">
        <w:rPr>
          <w:rFonts w:ascii="Arial" w:hAnsi="Arial" w:cs="Arial"/>
          <w:b/>
          <w:sz w:val="24"/>
          <w:szCs w:val="24"/>
        </w:rPr>
        <w:t xml:space="preserve"> -</w:t>
      </w:r>
      <w:r w:rsidR="00DD17A0" w:rsidRPr="00DD17A0">
        <w:rPr>
          <w:rFonts w:ascii="Arial" w:hAnsi="Arial" w:cs="Arial"/>
        </w:rPr>
        <w:t xml:space="preserve"> </w:t>
      </w:r>
      <w:r w:rsidR="00DD17A0" w:rsidRPr="009608E9">
        <w:rPr>
          <w:rFonts w:ascii="Arial" w:hAnsi="Arial" w:cs="Arial"/>
          <w:sz w:val="24"/>
          <w:szCs w:val="24"/>
        </w:rPr>
        <w:t>Local authorities in L</w:t>
      </w:r>
      <w:r w:rsidR="0046474D">
        <w:rPr>
          <w:rFonts w:ascii="Arial" w:hAnsi="Arial" w:cs="Arial"/>
          <w:sz w:val="24"/>
          <w:szCs w:val="24"/>
        </w:rPr>
        <w:t xml:space="preserve">ocal </w:t>
      </w:r>
      <w:proofErr w:type="spellStart"/>
      <w:r w:rsidR="00DD17A0" w:rsidRPr="009608E9">
        <w:rPr>
          <w:rFonts w:ascii="Arial" w:hAnsi="Arial" w:cs="Arial"/>
          <w:sz w:val="24"/>
          <w:szCs w:val="24"/>
        </w:rPr>
        <w:t>C</w:t>
      </w:r>
      <w:r w:rsidR="0046474D">
        <w:rPr>
          <w:rFonts w:ascii="Arial" w:hAnsi="Arial" w:cs="Arial"/>
          <w:sz w:val="24"/>
          <w:szCs w:val="24"/>
        </w:rPr>
        <w:t>ovid</w:t>
      </w:r>
      <w:proofErr w:type="spellEnd"/>
      <w:r w:rsidR="0046474D">
        <w:rPr>
          <w:rFonts w:ascii="Arial" w:hAnsi="Arial" w:cs="Arial"/>
          <w:sz w:val="24"/>
          <w:szCs w:val="24"/>
        </w:rPr>
        <w:t xml:space="preserve"> </w:t>
      </w:r>
      <w:r w:rsidR="00DD17A0" w:rsidRPr="009608E9">
        <w:rPr>
          <w:rFonts w:ascii="Arial" w:hAnsi="Arial" w:cs="Arial"/>
          <w:sz w:val="24"/>
          <w:szCs w:val="24"/>
        </w:rPr>
        <w:t>A</w:t>
      </w:r>
      <w:r w:rsidR="0046474D">
        <w:rPr>
          <w:rFonts w:ascii="Arial" w:hAnsi="Arial" w:cs="Arial"/>
          <w:sz w:val="24"/>
          <w:szCs w:val="24"/>
        </w:rPr>
        <w:t xml:space="preserve">lert </w:t>
      </w:r>
      <w:r w:rsidR="00DD17A0" w:rsidRPr="009608E9">
        <w:rPr>
          <w:rFonts w:ascii="Arial" w:hAnsi="Arial" w:cs="Arial"/>
          <w:sz w:val="24"/>
          <w:szCs w:val="24"/>
        </w:rPr>
        <w:t>L</w:t>
      </w:r>
      <w:r w:rsidR="0046474D">
        <w:rPr>
          <w:rFonts w:ascii="Arial" w:hAnsi="Arial" w:cs="Arial"/>
          <w:sz w:val="24"/>
          <w:szCs w:val="24"/>
        </w:rPr>
        <w:t>evel (LCAL)</w:t>
      </w:r>
      <w:r w:rsidR="00DD17A0" w:rsidRPr="009608E9">
        <w:rPr>
          <w:rFonts w:ascii="Arial" w:hAnsi="Arial" w:cs="Arial"/>
          <w:sz w:val="24"/>
          <w:szCs w:val="24"/>
        </w:rPr>
        <w:t xml:space="preserve"> High (Tier 2) in any period from 1st August – 4th November will receive an allocation to pay Local Restrictions Support Grant (Open) grants for the period they spent in this tier. This funding allows each Local Authority to run a discretionary grant scheme to support those businesses</w:t>
      </w:r>
      <w:r w:rsidR="00DD17A0">
        <w:rPr>
          <w:rFonts w:ascii="Arial" w:hAnsi="Arial" w:cs="Arial"/>
          <w:sz w:val="24"/>
          <w:szCs w:val="24"/>
        </w:rPr>
        <w:t xml:space="preserve"> (in the hospitality, accommodation and leisure sectors)</w:t>
      </w:r>
      <w:r w:rsidR="00DD17A0" w:rsidRPr="009608E9">
        <w:rPr>
          <w:rFonts w:ascii="Arial" w:hAnsi="Arial" w:cs="Arial"/>
          <w:sz w:val="24"/>
          <w:szCs w:val="24"/>
        </w:rPr>
        <w:t xml:space="preserve"> impacted by the LCAL High restrictions.</w:t>
      </w:r>
      <w:r w:rsidR="00DD17A0" w:rsidRPr="00F554E6">
        <w:rPr>
          <w:rFonts w:ascii="Arial" w:hAnsi="Arial" w:cs="Arial"/>
          <w:sz w:val="24"/>
          <w:szCs w:val="24"/>
        </w:rPr>
        <w:t xml:space="preserve"> </w:t>
      </w:r>
      <w:r w:rsidR="00DD17A0">
        <w:rPr>
          <w:rFonts w:ascii="Arial" w:hAnsi="Arial" w:cs="Arial"/>
          <w:sz w:val="24"/>
          <w:szCs w:val="24"/>
        </w:rPr>
        <w:t xml:space="preserve">For the </w:t>
      </w:r>
      <w:r w:rsidR="0046474D">
        <w:rPr>
          <w:rFonts w:ascii="Arial" w:hAnsi="Arial" w:cs="Arial"/>
          <w:sz w:val="24"/>
          <w:szCs w:val="24"/>
        </w:rPr>
        <w:t>five</w:t>
      </w:r>
      <w:r w:rsidR="00DD17A0">
        <w:rPr>
          <w:rFonts w:ascii="Arial" w:hAnsi="Arial" w:cs="Arial"/>
          <w:sz w:val="24"/>
          <w:szCs w:val="24"/>
        </w:rPr>
        <w:t xml:space="preserve"> days that the city was in Tier 2 the allocation has been confirmed as</w:t>
      </w:r>
      <w:r w:rsidR="00DD17A0" w:rsidRPr="009608E9">
        <w:rPr>
          <w:rFonts w:ascii="Arial" w:hAnsi="Arial" w:cs="Arial"/>
          <w:sz w:val="24"/>
          <w:szCs w:val="24"/>
        </w:rPr>
        <w:t xml:space="preserve"> £137,828</w:t>
      </w:r>
      <w:r w:rsidR="00DD17A0">
        <w:rPr>
          <w:rFonts w:ascii="Arial" w:hAnsi="Arial" w:cs="Arial"/>
          <w:sz w:val="24"/>
          <w:szCs w:val="24"/>
        </w:rPr>
        <w:t xml:space="preserve">. </w:t>
      </w:r>
    </w:p>
    <w:p w:rsidR="007E58A3" w:rsidRPr="00DD17A0" w:rsidRDefault="00DD17A0" w:rsidP="00F7377A">
      <w:pPr>
        <w:pStyle w:val="NoSpacing"/>
        <w:numPr>
          <w:ilvl w:val="0"/>
          <w:numId w:val="11"/>
        </w:numPr>
        <w:ind w:left="1134" w:hanging="425"/>
        <w:rPr>
          <w:b/>
        </w:rPr>
      </w:pPr>
      <w:r w:rsidRPr="00DD17A0">
        <w:rPr>
          <w:rFonts w:ascii="Arial" w:hAnsi="Arial" w:cs="Arial"/>
          <w:b/>
          <w:iCs/>
          <w:sz w:val="24"/>
          <w:szCs w:val="24"/>
        </w:rPr>
        <w:t>Local Restriction Support Grant (Sector) LRSG (Sector)</w:t>
      </w:r>
      <w:r>
        <w:rPr>
          <w:rFonts w:ascii="Arial" w:hAnsi="Arial" w:cs="Arial"/>
          <w:b/>
          <w:iCs/>
          <w:sz w:val="24"/>
          <w:szCs w:val="24"/>
        </w:rPr>
        <w:t xml:space="preserve"> -</w:t>
      </w:r>
      <w:r w:rsidRPr="00DD17A0">
        <w:rPr>
          <w:rFonts w:ascii="Arial" w:hAnsi="Arial" w:cs="Arial"/>
          <w:sz w:val="24"/>
          <w:szCs w:val="24"/>
        </w:rPr>
        <w:t xml:space="preserve"> </w:t>
      </w:r>
      <w:r w:rsidRPr="00F554E6">
        <w:rPr>
          <w:rFonts w:ascii="Arial" w:hAnsi="Arial" w:cs="Arial"/>
          <w:sz w:val="24"/>
          <w:szCs w:val="24"/>
        </w:rPr>
        <w:t>Businesses</w:t>
      </w:r>
      <w:r>
        <w:rPr>
          <w:rFonts w:ascii="Arial" w:hAnsi="Arial" w:cs="Arial"/>
          <w:sz w:val="24"/>
          <w:szCs w:val="24"/>
        </w:rPr>
        <w:t xml:space="preserve"> that were required to close on 23</w:t>
      </w:r>
      <w:r w:rsidRPr="00983B88">
        <w:rPr>
          <w:rFonts w:ascii="Arial" w:hAnsi="Arial" w:cs="Arial"/>
          <w:sz w:val="24"/>
          <w:szCs w:val="24"/>
          <w:vertAlign w:val="superscript"/>
        </w:rPr>
        <w:t>rd</w:t>
      </w:r>
      <w:r>
        <w:rPr>
          <w:rFonts w:ascii="Arial" w:hAnsi="Arial" w:cs="Arial"/>
          <w:sz w:val="24"/>
          <w:szCs w:val="24"/>
        </w:rPr>
        <w:t xml:space="preserve"> </w:t>
      </w:r>
      <w:r w:rsidRPr="00F554E6">
        <w:rPr>
          <w:rFonts w:ascii="Arial" w:hAnsi="Arial" w:cs="Arial"/>
          <w:sz w:val="24"/>
          <w:szCs w:val="24"/>
        </w:rPr>
        <w:t xml:space="preserve">March </w:t>
      </w:r>
      <w:r>
        <w:rPr>
          <w:rFonts w:ascii="Arial" w:hAnsi="Arial" w:cs="Arial"/>
          <w:sz w:val="24"/>
          <w:szCs w:val="24"/>
        </w:rPr>
        <w:t xml:space="preserve">2020 </w:t>
      </w:r>
      <w:r w:rsidRPr="00F554E6">
        <w:rPr>
          <w:rFonts w:ascii="Arial" w:hAnsi="Arial" w:cs="Arial"/>
          <w:sz w:val="24"/>
          <w:szCs w:val="24"/>
        </w:rPr>
        <w:t xml:space="preserve">and </w:t>
      </w:r>
      <w:r w:rsidRPr="009608E9">
        <w:rPr>
          <w:rFonts w:ascii="Arial" w:hAnsi="Arial" w:cs="Arial"/>
          <w:sz w:val="24"/>
          <w:szCs w:val="24"/>
        </w:rPr>
        <w:t>which have never been able to re-open</w:t>
      </w:r>
      <w:r w:rsidRPr="00F554E6">
        <w:rPr>
          <w:rFonts w:ascii="Arial" w:hAnsi="Arial" w:cs="Arial"/>
          <w:sz w:val="24"/>
          <w:szCs w:val="24"/>
        </w:rPr>
        <w:t xml:space="preserve"> (for example nightclubs) w</w:t>
      </w:r>
      <w:r>
        <w:rPr>
          <w:rFonts w:ascii="Arial" w:hAnsi="Arial" w:cs="Arial"/>
          <w:sz w:val="24"/>
          <w:szCs w:val="24"/>
        </w:rPr>
        <w:t xml:space="preserve">ill be paid grants of up to £1,500, depending on the rateable value, for every two </w:t>
      </w:r>
      <w:r w:rsidRPr="00F554E6">
        <w:rPr>
          <w:rFonts w:ascii="Arial" w:hAnsi="Arial" w:cs="Arial"/>
          <w:sz w:val="24"/>
          <w:szCs w:val="24"/>
        </w:rPr>
        <w:t>week period that they have to remain closed.</w:t>
      </w:r>
      <w:r>
        <w:rPr>
          <w:rFonts w:ascii="Arial" w:hAnsi="Arial" w:cs="Arial"/>
          <w:sz w:val="24"/>
          <w:szCs w:val="24"/>
        </w:rPr>
        <w:t xml:space="preserve"> </w:t>
      </w:r>
      <w:r w:rsidR="0046474D">
        <w:rPr>
          <w:rFonts w:ascii="Arial" w:hAnsi="Arial" w:cs="Arial"/>
          <w:sz w:val="24"/>
          <w:szCs w:val="24"/>
        </w:rPr>
        <w:t xml:space="preserve">The </w:t>
      </w:r>
      <w:r>
        <w:rPr>
          <w:rFonts w:ascii="Arial" w:hAnsi="Arial" w:cs="Arial"/>
          <w:sz w:val="24"/>
          <w:szCs w:val="24"/>
        </w:rPr>
        <w:t xml:space="preserve">Council has not </w:t>
      </w:r>
      <w:r w:rsidR="0046474D">
        <w:rPr>
          <w:rFonts w:ascii="Arial" w:hAnsi="Arial" w:cs="Arial"/>
          <w:sz w:val="24"/>
          <w:szCs w:val="24"/>
        </w:rPr>
        <w:t xml:space="preserve">yet </w:t>
      </w:r>
      <w:r>
        <w:rPr>
          <w:rFonts w:ascii="Arial" w:hAnsi="Arial" w:cs="Arial"/>
          <w:sz w:val="24"/>
          <w:szCs w:val="24"/>
        </w:rPr>
        <w:t>been notified of</w:t>
      </w:r>
      <w:r w:rsidR="0046474D">
        <w:rPr>
          <w:rFonts w:ascii="Arial" w:hAnsi="Arial" w:cs="Arial"/>
          <w:sz w:val="24"/>
          <w:szCs w:val="24"/>
        </w:rPr>
        <w:t xml:space="preserve"> the</w:t>
      </w:r>
      <w:r>
        <w:rPr>
          <w:rFonts w:ascii="Arial" w:hAnsi="Arial" w:cs="Arial"/>
          <w:sz w:val="24"/>
          <w:szCs w:val="24"/>
        </w:rPr>
        <w:t xml:space="preserve"> grant entitlement. </w:t>
      </w:r>
    </w:p>
    <w:p w:rsidR="007E58A3" w:rsidRPr="0032345E" w:rsidRDefault="007E58A3" w:rsidP="00776878">
      <w:pPr>
        <w:pStyle w:val="NoSpacing"/>
        <w:ind w:left="1134" w:hanging="425"/>
      </w:pPr>
    </w:p>
    <w:p w:rsidR="00C667F2" w:rsidRPr="0032345E" w:rsidRDefault="00C667F2" w:rsidP="003C3043">
      <w:pPr>
        <w:pStyle w:val="Default"/>
        <w:rPr>
          <w:b/>
        </w:rPr>
      </w:pPr>
    </w:p>
    <w:p w:rsidR="00D81FF0" w:rsidRDefault="00E53F63" w:rsidP="003C3043">
      <w:pPr>
        <w:pStyle w:val="Default"/>
        <w:rPr>
          <w:b/>
        </w:rPr>
      </w:pPr>
      <w:r w:rsidRPr="0032345E">
        <w:rPr>
          <w:b/>
        </w:rPr>
        <w:t>Spending Review</w:t>
      </w:r>
      <w:r w:rsidR="004D7A5A">
        <w:rPr>
          <w:b/>
        </w:rPr>
        <w:t xml:space="preserve"> 2020</w:t>
      </w:r>
    </w:p>
    <w:p w:rsidR="004D7A5A" w:rsidRDefault="004D7A5A" w:rsidP="003C3043">
      <w:pPr>
        <w:pStyle w:val="Default"/>
        <w:rPr>
          <w:b/>
        </w:rPr>
      </w:pPr>
    </w:p>
    <w:p w:rsidR="004D7A5A" w:rsidRPr="00DE283D" w:rsidRDefault="004D7A5A" w:rsidP="007E34DD">
      <w:pPr>
        <w:pStyle w:val="abody"/>
        <w:numPr>
          <w:ilvl w:val="1"/>
          <w:numId w:val="30"/>
        </w:numPr>
        <w:ind w:left="709" w:hanging="709"/>
        <w:jc w:val="left"/>
        <w:rPr>
          <w:color w:val="auto"/>
          <w:sz w:val="24"/>
          <w:szCs w:val="24"/>
          <w:lang w:val="en-GB"/>
        </w:rPr>
      </w:pPr>
      <w:r w:rsidRPr="00DE283D">
        <w:rPr>
          <w:color w:val="auto"/>
          <w:sz w:val="24"/>
          <w:szCs w:val="24"/>
          <w:lang w:val="en-GB"/>
        </w:rPr>
        <w:t>On 24</w:t>
      </w:r>
      <w:r w:rsidRPr="00DE283D">
        <w:rPr>
          <w:color w:val="auto"/>
          <w:sz w:val="24"/>
          <w:szCs w:val="24"/>
          <w:vertAlign w:val="superscript"/>
          <w:lang w:val="en-GB"/>
        </w:rPr>
        <w:t>th</w:t>
      </w:r>
      <w:r w:rsidRPr="00DE283D">
        <w:rPr>
          <w:color w:val="auto"/>
          <w:sz w:val="24"/>
          <w:szCs w:val="24"/>
          <w:lang w:val="en-GB"/>
        </w:rPr>
        <w:t xml:space="preserve"> November 2020 the Chancellor announced details of the Government Spending Review. This is a one year review for 2021-22 only</w:t>
      </w:r>
      <w:r w:rsidR="00DE283D" w:rsidRPr="00DE283D">
        <w:rPr>
          <w:color w:val="auto"/>
          <w:sz w:val="24"/>
          <w:szCs w:val="24"/>
          <w:lang w:val="en-GB"/>
        </w:rPr>
        <w:t xml:space="preserve"> and contains the following </w:t>
      </w:r>
      <w:r w:rsidR="00672C31">
        <w:rPr>
          <w:color w:val="auto"/>
          <w:sz w:val="24"/>
          <w:szCs w:val="24"/>
          <w:lang w:val="en-GB"/>
        </w:rPr>
        <w:t xml:space="preserve">significant </w:t>
      </w:r>
      <w:r w:rsidR="00DE283D" w:rsidRPr="00DE283D">
        <w:rPr>
          <w:color w:val="auto"/>
          <w:sz w:val="24"/>
          <w:szCs w:val="24"/>
          <w:lang w:val="en-GB"/>
        </w:rPr>
        <w:t>points effecting local authorities</w:t>
      </w:r>
    </w:p>
    <w:p w:rsidR="00DE283D" w:rsidRPr="00DE283D" w:rsidRDefault="00DE283D" w:rsidP="00F7377A">
      <w:pPr>
        <w:pStyle w:val="ListParagraph"/>
        <w:numPr>
          <w:ilvl w:val="0"/>
          <w:numId w:val="12"/>
        </w:numPr>
        <w:ind w:left="1134" w:hanging="425"/>
        <w:rPr>
          <w:rFonts w:cs="Arial"/>
          <w:lang w:eastAsia="en-GB"/>
        </w:rPr>
      </w:pPr>
      <w:r w:rsidRPr="00DE283D">
        <w:rPr>
          <w:rFonts w:cs="Arial"/>
          <w:lang w:eastAsia="en-GB"/>
        </w:rPr>
        <w:t xml:space="preserve">In relation to national pay </w:t>
      </w:r>
      <w:r w:rsidR="00C561B6" w:rsidRPr="00DE283D">
        <w:rPr>
          <w:rFonts w:cs="Arial"/>
          <w:lang w:eastAsia="en-GB"/>
        </w:rPr>
        <w:t>bargaining</w:t>
      </w:r>
      <w:r w:rsidRPr="00DE283D">
        <w:rPr>
          <w:rFonts w:cs="Arial"/>
          <w:lang w:eastAsia="en-GB"/>
        </w:rPr>
        <w:t xml:space="preserve"> public sector pay increases are paused for one year except for NHS staff and public sector employees on low pay. Those employees on less than £24k per annum will receive a pay increase of £250</w:t>
      </w:r>
    </w:p>
    <w:p w:rsidR="00DE283D" w:rsidRPr="00DE283D" w:rsidRDefault="00DE283D" w:rsidP="00F7377A">
      <w:pPr>
        <w:pStyle w:val="ListParagraph"/>
        <w:numPr>
          <w:ilvl w:val="0"/>
          <w:numId w:val="12"/>
        </w:numPr>
        <w:ind w:left="1134" w:hanging="425"/>
        <w:rPr>
          <w:rFonts w:cs="Arial"/>
          <w:lang w:eastAsia="en-GB"/>
        </w:rPr>
      </w:pPr>
      <w:r w:rsidRPr="00DE283D">
        <w:rPr>
          <w:rFonts w:cs="Arial"/>
          <w:lang w:eastAsia="en-GB"/>
        </w:rPr>
        <w:t xml:space="preserve">Core spending power </w:t>
      </w:r>
      <w:proofErr w:type="spellStart"/>
      <w:r w:rsidRPr="00DE283D">
        <w:rPr>
          <w:rFonts w:cs="Arial"/>
          <w:lang w:eastAsia="en-GB"/>
        </w:rPr>
        <w:t>i.e</w:t>
      </w:r>
      <w:proofErr w:type="spellEnd"/>
      <w:r w:rsidRPr="00DE283D">
        <w:rPr>
          <w:rFonts w:cs="Arial"/>
          <w:lang w:eastAsia="en-GB"/>
        </w:rPr>
        <w:t xml:space="preserve"> the Governments assessment of increased income to local authorities is reported to have increased by 4.5% (£2.2 </w:t>
      </w:r>
      <w:proofErr w:type="spellStart"/>
      <w:r w:rsidRPr="00DE283D">
        <w:rPr>
          <w:rFonts w:cs="Arial"/>
          <w:lang w:eastAsia="en-GB"/>
        </w:rPr>
        <w:t>bn</w:t>
      </w:r>
      <w:proofErr w:type="spellEnd"/>
      <w:r w:rsidRPr="00DE283D">
        <w:rPr>
          <w:rFonts w:cs="Arial"/>
          <w:lang w:eastAsia="en-GB"/>
        </w:rPr>
        <w:t xml:space="preserve">) in reality at individual local authority level this percentage increase will be a lot less. </w:t>
      </w:r>
      <w:r w:rsidR="006F7CDA">
        <w:rPr>
          <w:rFonts w:cs="Arial"/>
          <w:lang w:eastAsia="en-GB"/>
        </w:rPr>
        <w:t xml:space="preserve">This calculation </w:t>
      </w:r>
      <w:r w:rsidRPr="00DE283D">
        <w:rPr>
          <w:rFonts w:cs="Arial"/>
          <w:lang w:eastAsia="en-GB"/>
        </w:rPr>
        <w:t>relates to</w:t>
      </w:r>
      <w:r w:rsidR="006F7CDA">
        <w:rPr>
          <w:rFonts w:cs="Arial"/>
          <w:lang w:eastAsia="en-GB"/>
        </w:rPr>
        <w:t xml:space="preserve"> items (c) to (k) below</w:t>
      </w:r>
      <w:r w:rsidRPr="00DE283D">
        <w:rPr>
          <w:rFonts w:cs="Arial"/>
          <w:lang w:eastAsia="en-GB"/>
        </w:rPr>
        <w:t xml:space="preserve"> </w:t>
      </w:r>
    </w:p>
    <w:p w:rsidR="00C561B6" w:rsidRPr="00C561B6" w:rsidRDefault="00DE283D" w:rsidP="00F7377A">
      <w:pPr>
        <w:pStyle w:val="ListParagraph"/>
        <w:numPr>
          <w:ilvl w:val="0"/>
          <w:numId w:val="12"/>
        </w:numPr>
        <w:ind w:left="1134" w:hanging="425"/>
        <w:rPr>
          <w:rFonts w:cs="Arial"/>
        </w:rPr>
      </w:pPr>
      <w:r>
        <w:t>The referendum threshold for increases in council tax will be 2% in 2021/22</w:t>
      </w:r>
      <w:r w:rsidR="00C561B6">
        <w:t>.</w:t>
      </w:r>
      <w:r w:rsidR="00C561B6" w:rsidRPr="00C561B6">
        <w:rPr>
          <w:rFonts w:cs="Arial"/>
        </w:rPr>
        <w:t xml:space="preserve"> </w:t>
      </w:r>
      <w:r w:rsidR="00C561B6" w:rsidRPr="003F7C57">
        <w:rPr>
          <w:rFonts w:cs="Arial"/>
        </w:rPr>
        <w:t xml:space="preserve">District Council have in the past few years been able to increase Council tax by up to 2% or £5 whichever is the higher. </w:t>
      </w:r>
      <w:r w:rsidR="00C561B6" w:rsidRPr="003F7C57">
        <w:rPr>
          <w:lang w:eastAsia="en-GB"/>
        </w:rPr>
        <w:t>For district councils the referendum level is exceeded if council tax is to be increased by 2</w:t>
      </w:r>
      <w:r w:rsidR="00C561B6" w:rsidRPr="003F7C57">
        <w:rPr>
          <w:b/>
          <w:bCs/>
          <w:lang w:eastAsia="en-GB"/>
        </w:rPr>
        <w:t xml:space="preserve">% </w:t>
      </w:r>
      <w:r w:rsidR="00C561B6" w:rsidRPr="003F7C57">
        <w:rPr>
          <w:bCs/>
          <w:lang w:eastAsia="en-GB"/>
        </w:rPr>
        <w:t xml:space="preserve">or more and more than £5.00 </w:t>
      </w:r>
      <w:r w:rsidR="00C561B6" w:rsidRPr="003F7C57">
        <w:rPr>
          <w:lang w:eastAsia="en-GB"/>
        </w:rPr>
        <w:t xml:space="preserve">on a Band D property – i.e. an increase of more than 2% is permitted as long as it does not exceed £5.00 on a Band D property. </w:t>
      </w:r>
      <w:r w:rsidR="00C561B6">
        <w:rPr>
          <w:lang w:eastAsia="en-GB"/>
        </w:rPr>
        <w:t>Oxford City</w:t>
      </w:r>
      <w:r w:rsidR="00C561B6" w:rsidRPr="003F7C57">
        <w:rPr>
          <w:lang w:eastAsia="en-GB"/>
        </w:rPr>
        <w:t xml:space="preserve"> is proposing an increase of 1.99% since the increase at that level is £6.25 per </w:t>
      </w:r>
      <w:r w:rsidR="00C561B6" w:rsidRPr="00C561B6">
        <w:rPr>
          <w:lang w:eastAsia="en-GB"/>
        </w:rPr>
        <w:t>annum. It is assumed that these principles will be applied for 2021-22</w:t>
      </w:r>
    </w:p>
    <w:p w:rsidR="00DE283D" w:rsidRPr="00C561B6" w:rsidRDefault="00DE283D" w:rsidP="00F7377A">
      <w:pPr>
        <w:pStyle w:val="Style4"/>
        <w:numPr>
          <w:ilvl w:val="0"/>
          <w:numId w:val="12"/>
        </w:numPr>
        <w:spacing w:before="0" w:after="0"/>
        <w:ind w:left="1134" w:hanging="425"/>
        <w:jc w:val="left"/>
        <w:rPr>
          <w:sz w:val="24"/>
          <w:szCs w:val="24"/>
        </w:rPr>
      </w:pPr>
      <w:r w:rsidRPr="00C561B6">
        <w:rPr>
          <w:sz w:val="24"/>
          <w:szCs w:val="24"/>
        </w:rPr>
        <w:t>Social care authorities will be able to charge an adult social care precept of up to 3%</w:t>
      </w:r>
    </w:p>
    <w:p w:rsidR="00DE283D" w:rsidRPr="00C561B6" w:rsidRDefault="00DE283D" w:rsidP="00F7377A">
      <w:pPr>
        <w:pStyle w:val="Style4"/>
        <w:numPr>
          <w:ilvl w:val="0"/>
          <w:numId w:val="12"/>
        </w:numPr>
        <w:spacing w:before="0" w:after="0"/>
        <w:ind w:left="1134" w:hanging="357"/>
        <w:jc w:val="left"/>
        <w:rPr>
          <w:sz w:val="24"/>
          <w:szCs w:val="24"/>
        </w:rPr>
      </w:pPr>
      <w:r w:rsidRPr="00C561B6">
        <w:rPr>
          <w:sz w:val="24"/>
          <w:szCs w:val="24"/>
        </w:rPr>
        <w:t>£300 million of new grant funding for adult and children’s social care, in addition to the £1bn announced at SR19 that is being maintained in 2021/22</w:t>
      </w:r>
    </w:p>
    <w:p w:rsidR="00DE283D" w:rsidRPr="00C561B6" w:rsidRDefault="00DE283D" w:rsidP="00F7377A">
      <w:pPr>
        <w:pStyle w:val="Style4"/>
        <w:numPr>
          <w:ilvl w:val="0"/>
          <w:numId w:val="12"/>
        </w:numPr>
        <w:spacing w:before="0" w:after="0"/>
        <w:ind w:left="1134" w:hanging="357"/>
        <w:jc w:val="left"/>
        <w:rPr>
          <w:sz w:val="24"/>
          <w:szCs w:val="24"/>
        </w:rPr>
      </w:pPr>
      <w:r w:rsidRPr="00C561B6">
        <w:rPr>
          <w:sz w:val="24"/>
          <w:szCs w:val="24"/>
        </w:rPr>
        <w:t xml:space="preserve">Maintaining the existing New Homes Bonus scheme for a further year with no new legacy payments. </w:t>
      </w:r>
      <w:r w:rsidR="00C561B6" w:rsidRPr="00C561B6">
        <w:rPr>
          <w:sz w:val="24"/>
          <w:szCs w:val="24"/>
          <w:lang w:val="en-GB"/>
        </w:rPr>
        <w:t xml:space="preserve">The scheme will be changed in 2022-23 </w:t>
      </w:r>
      <w:r w:rsidR="00E941D5">
        <w:rPr>
          <w:sz w:val="24"/>
          <w:szCs w:val="24"/>
          <w:lang w:val="en-GB"/>
        </w:rPr>
        <w:t xml:space="preserve">subject to a consultation </w:t>
      </w:r>
      <w:r w:rsidR="00C561B6" w:rsidRPr="00C561B6">
        <w:rPr>
          <w:sz w:val="24"/>
          <w:szCs w:val="24"/>
          <w:lang w:val="en-GB"/>
        </w:rPr>
        <w:t xml:space="preserve">although no further details are given. </w:t>
      </w:r>
      <w:r w:rsidRPr="00C561B6">
        <w:rPr>
          <w:sz w:val="24"/>
          <w:szCs w:val="24"/>
          <w:lang w:val="en-GB"/>
        </w:rPr>
        <w:t>For Oxford City this has been assumed in the budget at £395k in 2021-22.</w:t>
      </w:r>
    </w:p>
    <w:p w:rsidR="00DE283D" w:rsidRPr="00E941D5" w:rsidRDefault="00DE283D" w:rsidP="00F7377A">
      <w:pPr>
        <w:pStyle w:val="Style4"/>
        <w:numPr>
          <w:ilvl w:val="0"/>
          <w:numId w:val="12"/>
        </w:numPr>
        <w:spacing w:before="0" w:after="0"/>
        <w:ind w:left="1134" w:hanging="357"/>
        <w:jc w:val="left"/>
        <w:rPr>
          <w:sz w:val="24"/>
          <w:szCs w:val="24"/>
        </w:rPr>
      </w:pPr>
      <w:r w:rsidRPr="00E941D5">
        <w:rPr>
          <w:sz w:val="24"/>
          <w:szCs w:val="24"/>
        </w:rPr>
        <w:t>There will be £16m to support modernisation of local authorities’ cyber security systems</w:t>
      </w:r>
    </w:p>
    <w:p w:rsidR="00C561B6" w:rsidRPr="00E941D5" w:rsidRDefault="00C561B6" w:rsidP="00F7377A">
      <w:pPr>
        <w:pStyle w:val="Style4"/>
        <w:numPr>
          <w:ilvl w:val="0"/>
          <w:numId w:val="12"/>
        </w:numPr>
        <w:spacing w:before="0" w:after="0"/>
        <w:ind w:left="1134" w:hanging="425"/>
        <w:jc w:val="left"/>
        <w:rPr>
          <w:sz w:val="24"/>
          <w:szCs w:val="24"/>
        </w:rPr>
      </w:pPr>
      <w:r w:rsidRPr="00E941D5">
        <w:rPr>
          <w:sz w:val="24"/>
          <w:szCs w:val="24"/>
          <w:lang w:val="en-US"/>
        </w:rPr>
        <w:t xml:space="preserve">£0.8bn of funding for tax revenue losses; this is intended to cover </w:t>
      </w:r>
      <w:r w:rsidRPr="00E941D5">
        <w:rPr>
          <w:sz w:val="24"/>
          <w:szCs w:val="24"/>
        </w:rPr>
        <w:t>75% of irrecoverable loss of council tax and business rates revenues in 2020</w:t>
      </w:r>
      <w:r w:rsidRPr="00E941D5">
        <w:rPr>
          <w:sz w:val="24"/>
          <w:szCs w:val="24"/>
          <w:lang w:val="en-US"/>
        </w:rPr>
        <w:t>/</w:t>
      </w:r>
      <w:r w:rsidRPr="00E941D5">
        <w:rPr>
          <w:sz w:val="24"/>
          <w:szCs w:val="24"/>
        </w:rPr>
        <w:t xml:space="preserve">21 that </w:t>
      </w:r>
      <w:r w:rsidRPr="00E941D5">
        <w:rPr>
          <w:sz w:val="24"/>
          <w:szCs w:val="24"/>
        </w:rPr>
        <w:lastRenderedPageBreak/>
        <w:t>would otherwise need to be funded through local authority budgets in 2021</w:t>
      </w:r>
      <w:r w:rsidRPr="00E941D5">
        <w:rPr>
          <w:sz w:val="24"/>
          <w:szCs w:val="24"/>
          <w:lang w:val="en-US"/>
        </w:rPr>
        <w:t>/</w:t>
      </w:r>
      <w:r w:rsidRPr="00E941D5">
        <w:rPr>
          <w:sz w:val="24"/>
          <w:szCs w:val="24"/>
        </w:rPr>
        <w:t>22 and later years</w:t>
      </w:r>
      <w:r w:rsidRPr="00E941D5">
        <w:rPr>
          <w:sz w:val="24"/>
          <w:szCs w:val="24"/>
          <w:lang w:val="en-US"/>
        </w:rPr>
        <w:t xml:space="preserve"> (i.e. collection fund deficits being dispersed).   </w:t>
      </w:r>
    </w:p>
    <w:p w:rsidR="00C561B6" w:rsidRPr="00E941D5" w:rsidRDefault="00C561B6" w:rsidP="00F7377A">
      <w:pPr>
        <w:pStyle w:val="Style4"/>
        <w:numPr>
          <w:ilvl w:val="0"/>
          <w:numId w:val="12"/>
        </w:numPr>
        <w:spacing w:before="0" w:after="0"/>
        <w:ind w:left="1134"/>
        <w:jc w:val="left"/>
        <w:rPr>
          <w:sz w:val="24"/>
          <w:szCs w:val="24"/>
        </w:rPr>
      </w:pPr>
      <w:r w:rsidRPr="00E941D5">
        <w:rPr>
          <w:sz w:val="24"/>
          <w:szCs w:val="24"/>
        </w:rPr>
        <w:t>Extending the existing COVID-19 sales, fees and charges reimbursement scheme for a further three months until the end of June 2021</w:t>
      </w:r>
    </w:p>
    <w:p w:rsidR="00C561B6" w:rsidRDefault="00C561B6" w:rsidP="00F7377A">
      <w:pPr>
        <w:pStyle w:val="Style4"/>
        <w:numPr>
          <w:ilvl w:val="0"/>
          <w:numId w:val="12"/>
        </w:numPr>
        <w:spacing w:before="0" w:after="0"/>
        <w:ind w:left="1134"/>
        <w:jc w:val="left"/>
        <w:rPr>
          <w:sz w:val="24"/>
          <w:szCs w:val="24"/>
        </w:rPr>
      </w:pPr>
      <w:r w:rsidRPr="00E941D5">
        <w:rPr>
          <w:sz w:val="24"/>
          <w:szCs w:val="24"/>
        </w:rPr>
        <w:t xml:space="preserve">£254m for rough sleepers and those at risk of homelessness during COVID-19 </w:t>
      </w:r>
    </w:p>
    <w:p w:rsidR="00E941D5" w:rsidRPr="006F7CDA" w:rsidRDefault="00E941D5" w:rsidP="00F7377A">
      <w:pPr>
        <w:pStyle w:val="Style4"/>
        <w:numPr>
          <w:ilvl w:val="0"/>
          <w:numId w:val="12"/>
        </w:numPr>
        <w:spacing w:before="0" w:after="0"/>
        <w:ind w:left="1134"/>
        <w:jc w:val="left"/>
        <w:rPr>
          <w:sz w:val="24"/>
          <w:szCs w:val="24"/>
        </w:rPr>
      </w:pPr>
      <w:r w:rsidRPr="006F7CDA">
        <w:rPr>
          <w:sz w:val="24"/>
          <w:szCs w:val="24"/>
          <w:lang w:val="en-GB"/>
        </w:rPr>
        <w:t xml:space="preserve">Business rates multiplier for 2021-22 will not be increased and </w:t>
      </w:r>
      <w:proofErr w:type="spellStart"/>
      <w:r w:rsidRPr="006F7CDA">
        <w:rPr>
          <w:sz w:val="24"/>
          <w:szCs w:val="24"/>
          <w:lang w:val="en-GB"/>
        </w:rPr>
        <w:t>t</w:t>
      </w:r>
      <w:r w:rsidRPr="006F7CDA">
        <w:rPr>
          <w:sz w:val="24"/>
          <w:szCs w:val="24"/>
        </w:rPr>
        <w:t>here</w:t>
      </w:r>
      <w:proofErr w:type="spellEnd"/>
      <w:r w:rsidRPr="006F7CDA">
        <w:rPr>
          <w:sz w:val="24"/>
          <w:szCs w:val="24"/>
        </w:rPr>
        <w:t xml:space="preserve"> is no update on </w:t>
      </w:r>
      <w:r w:rsidRPr="006F7CDA">
        <w:rPr>
          <w:sz w:val="24"/>
          <w:szCs w:val="24"/>
          <w:lang w:val="en-GB"/>
        </w:rPr>
        <w:t>Business Rates F</w:t>
      </w:r>
      <w:proofErr w:type="spellStart"/>
      <w:r w:rsidRPr="006F7CDA">
        <w:rPr>
          <w:sz w:val="24"/>
          <w:szCs w:val="24"/>
        </w:rPr>
        <w:t>unding</w:t>
      </w:r>
      <w:proofErr w:type="spellEnd"/>
      <w:r w:rsidRPr="006F7CDA">
        <w:rPr>
          <w:sz w:val="24"/>
          <w:szCs w:val="24"/>
        </w:rPr>
        <w:t xml:space="preserve"> </w:t>
      </w:r>
      <w:r w:rsidRPr="006F7CDA">
        <w:rPr>
          <w:sz w:val="24"/>
          <w:szCs w:val="24"/>
          <w:lang w:val="en-GB"/>
        </w:rPr>
        <w:t>R</w:t>
      </w:r>
      <w:proofErr w:type="spellStart"/>
      <w:r w:rsidRPr="006F7CDA">
        <w:rPr>
          <w:sz w:val="24"/>
          <w:szCs w:val="24"/>
        </w:rPr>
        <w:t>eform</w:t>
      </w:r>
      <w:proofErr w:type="spellEnd"/>
      <w:r w:rsidRPr="006F7CDA">
        <w:rPr>
          <w:sz w:val="24"/>
          <w:szCs w:val="24"/>
        </w:rPr>
        <w:t>, which is still listed as ‘delayed’, with no revised implementation date proposed. There is confirmation that there will not be a reset in 2021/22, as expected, given the lack of data to allow baselines to be set</w:t>
      </w:r>
      <w:r w:rsidRPr="006F7CDA">
        <w:rPr>
          <w:sz w:val="24"/>
          <w:szCs w:val="24"/>
          <w:lang w:val="en-US"/>
        </w:rPr>
        <w:t>,</w:t>
      </w:r>
      <w:r w:rsidRPr="006F7CDA">
        <w:rPr>
          <w:sz w:val="24"/>
          <w:szCs w:val="24"/>
        </w:rPr>
        <w:t xml:space="preserve"> which are reflective of the impact of the pandemic</w:t>
      </w:r>
      <w:r w:rsidRPr="006F7CDA">
        <w:rPr>
          <w:sz w:val="24"/>
          <w:szCs w:val="24"/>
          <w:lang w:val="en-GB"/>
        </w:rPr>
        <w:t>.</w:t>
      </w:r>
    </w:p>
    <w:p w:rsidR="00C561B6" w:rsidRPr="00C561B6" w:rsidRDefault="00C561B6" w:rsidP="00E941D5">
      <w:pPr>
        <w:pStyle w:val="Style4"/>
        <w:numPr>
          <w:ilvl w:val="0"/>
          <w:numId w:val="0"/>
        </w:numPr>
        <w:spacing w:before="0" w:after="0"/>
        <w:ind w:left="1134"/>
        <w:jc w:val="left"/>
        <w:rPr>
          <w:sz w:val="24"/>
          <w:szCs w:val="24"/>
        </w:rPr>
      </w:pPr>
    </w:p>
    <w:p w:rsidR="00C667F2" w:rsidRPr="00000222" w:rsidRDefault="00C667F2" w:rsidP="000F4C48">
      <w:pPr>
        <w:pStyle w:val="NormalWeb"/>
        <w:spacing w:before="0" w:beforeAutospacing="0" w:after="0" w:afterAutospacing="0"/>
        <w:ind w:left="709" w:hanging="709"/>
        <w:rPr>
          <w:rFonts w:ascii="Arial" w:hAnsi="Arial" w:cs="Arial"/>
          <w:b/>
          <w:highlight w:val="yellow"/>
          <w:lang w:val="en" w:eastAsia="en-GB"/>
        </w:rPr>
      </w:pPr>
    </w:p>
    <w:p w:rsidR="00140D1A" w:rsidRPr="00B4739E" w:rsidRDefault="00140D1A" w:rsidP="00140D1A">
      <w:pPr>
        <w:rPr>
          <w:b/>
          <w:bCs/>
        </w:rPr>
      </w:pPr>
      <w:r w:rsidRPr="00B4739E">
        <w:rPr>
          <w:b/>
          <w:bCs/>
        </w:rPr>
        <w:t>Interest Rate</w:t>
      </w:r>
      <w:r>
        <w:rPr>
          <w:b/>
          <w:bCs/>
        </w:rPr>
        <w:t xml:space="preserve"> Forecasts</w:t>
      </w:r>
    </w:p>
    <w:p w:rsidR="00140D1A" w:rsidRDefault="00140D1A" w:rsidP="00140D1A">
      <w:pPr>
        <w:ind w:left="360"/>
      </w:pPr>
    </w:p>
    <w:p w:rsidR="00140D1A" w:rsidRPr="00B4739E" w:rsidRDefault="00140D1A" w:rsidP="007E34DD">
      <w:pPr>
        <w:pStyle w:val="ListParagraph"/>
        <w:numPr>
          <w:ilvl w:val="0"/>
          <w:numId w:val="40"/>
        </w:numPr>
        <w:ind w:left="709" w:hanging="709"/>
      </w:pPr>
      <w:r w:rsidRPr="00B4739E">
        <w:t>Link Asset Management, the Councils Treasury advisors, have given their view on interest rate forecasts as shown below</w:t>
      </w:r>
      <w:r>
        <w:t>:</w:t>
      </w:r>
    </w:p>
    <w:p w:rsidR="00140D1A" w:rsidRPr="00B4739E" w:rsidRDefault="00140D1A" w:rsidP="00140D1A">
      <w:pPr>
        <w:ind w:left="360"/>
      </w:pPr>
    </w:p>
    <w:p w:rsidR="00140D1A" w:rsidRPr="00B4739E" w:rsidRDefault="00E250EA" w:rsidP="00DB6B2A">
      <w:pPr>
        <w:ind w:left="709"/>
        <w:rPr>
          <w:b/>
          <w:bCs/>
        </w:rPr>
      </w:pPr>
      <w:r>
        <w:rPr>
          <w:b/>
          <w:bCs/>
        </w:rPr>
        <w:t>Table 2</w:t>
      </w:r>
      <w:r w:rsidR="00140D1A">
        <w:rPr>
          <w:b/>
          <w:bCs/>
        </w:rPr>
        <w:t xml:space="preserve">: </w:t>
      </w:r>
      <w:r w:rsidR="00140D1A" w:rsidRPr="00B4739E">
        <w:rPr>
          <w:b/>
          <w:bCs/>
        </w:rPr>
        <w:t xml:space="preserve">Interest rate forecasts </w:t>
      </w:r>
      <w:r w:rsidR="0046474D">
        <w:rPr>
          <w:b/>
          <w:bCs/>
        </w:rPr>
        <w:t xml:space="preserve">from </w:t>
      </w:r>
      <w:r w:rsidR="00140D1A">
        <w:rPr>
          <w:b/>
          <w:bCs/>
        </w:rPr>
        <w:t xml:space="preserve">December </w:t>
      </w:r>
      <w:r w:rsidR="00140D1A" w:rsidRPr="00B4739E">
        <w:rPr>
          <w:b/>
          <w:bCs/>
        </w:rPr>
        <w:t>20</w:t>
      </w:r>
      <w:r w:rsidR="00140D1A">
        <w:rPr>
          <w:b/>
          <w:bCs/>
        </w:rPr>
        <w:t xml:space="preserve">20 to </w:t>
      </w:r>
      <w:r w:rsidR="0046474D">
        <w:rPr>
          <w:b/>
          <w:bCs/>
        </w:rPr>
        <w:t xml:space="preserve">March </w:t>
      </w:r>
      <w:r w:rsidR="00140D1A">
        <w:rPr>
          <w:b/>
          <w:bCs/>
        </w:rPr>
        <w:t>2023</w:t>
      </w:r>
    </w:p>
    <w:p w:rsidR="00140D1A" w:rsidRPr="00B4739E" w:rsidRDefault="00140D1A" w:rsidP="00DB6B2A">
      <w:pPr>
        <w:ind w:left="709"/>
        <w:rPr>
          <w:bCs/>
        </w:rPr>
      </w:pPr>
    </w:p>
    <w:p w:rsidR="00140D1A" w:rsidRDefault="00140D1A" w:rsidP="00DB6B2A">
      <w:pPr>
        <w:ind w:left="709"/>
      </w:pPr>
      <w:r w:rsidRPr="00B4739E">
        <w:rPr>
          <w:noProof/>
          <w:lang w:eastAsia="en-GB"/>
        </w:rPr>
        <w:drawing>
          <wp:inline distT="0" distB="0" distL="0" distR="0" wp14:anchorId="3778F858" wp14:editId="36DC0676">
            <wp:extent cx="5429250" cy="1666687"/>
            <wp:effectExtent l="0" t="0" r="0" b="0"/>
            <wp:docPr id="4" name="Picture 4" descr="M:\Financial-Management-Capital-Strategy\1NEW_ACCOUNTANCY\Treasury\2021 22\Budget Setting\Budget Report\Interest rates 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inancial-Management-Capital-Strategy\1NEW_ACCOUNTANCY\Treasury\2021 22\Budget Setting\Budget Report\Interest rates tabl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54623" cy="1674476"/>
                    </a:xfrm>
                    <a:prstGeom prst="rect">
                      <a:avLst/>
                    </a:prstGeom>
                    <a:noFill/>
                    <a:ln>
                      <a:noFill/>
                    </a:ln>
                  </pic:spPr>
                </pic:pic>
              </a:graphicData>
            </a:graphic>
          </wp:inline>
        </w:drawing>
      </w:r>
    </w:p>
    <w:p w:rsidR="00140D1A" w:rsidRDefault="00140D1A" w:rsidP="00DB6B2A">
      <w:pPr>
        <w:ind w:left="709"/>
      </w:pPr>
    </w:p>
    <w:p w:rsidR="00140D1A" w:rsidRDefault="00140D1A" w:rsidP="007E34DD">
      <w:pPr>
        <w:pStyle w:val="ListParagraph"/>
        <w:numPr>
          <w:ilvl w:val="0"/>
          <w:numId w:val="40"/>
        </w:numPr>
        <w:ind w:left="709" w:hanging="709"/>
      </w:pPr>
      <w:r w:rsidRPr="00406B22">
        <w:t xml:space="preserve">The interest rate forecasts </w:t>
      </w:r>
      <w:r>
        <w:t xml:space="preserve">above </w:t>
      </w:r>
      <w:r w:rsidRPr="00406B22">
        <w:t>are predicated on an assumption of a</w:t>
      </w:r>
      <w:r w:rsidR="00461B4B">
        <w:t>n</w:t>
      </w:r>
      <w:r w:rsidRPr="00406B22">
        <w:t xml:space="preserve"> </w:t>
      </w:r>
      <w:r w:rsidR="00461B4B">
        <w:t>a</w:t>
      </w:r>
      <w:r w:rsidRPr="00406B22">
        <w:t>greement being reached on trade negotiations between the UK and the EU by 31</w:t>
      </w:r>
      <w:r w:rsidRPr="00DB6B2A">
        <w:rPr>
          <w:vertAlign w:val="superscript"/>
        </w:rPr>
        <w:t>st</w:t>
      </w:r>
      <w:r>
        <w:t xml:space="preserve"> December 2020 and the </w:t>
      </w:r>
      <w:r w:rsidR="00F04BA4">
        <w:t>Public Works Loans Board (</w:t>
      </w:r>
      <w:r>
        <w:t>PWLB</w:t>
      </w:r>
      <w:r w:rsidR="00F04BA4">
        <w:t>)</w:t>
      </w:r>
      <w:r>
        <w:t xml:space="preserve"> rates are </w:t>
      </w:r>
      <w:r w:rsidRPr="00B4739E">
        <w:t>based on PWLB certainty rates</w:t>
      </w:r>
      <w:r>
        <w:t xml:space="preserve"> </w:t>
      </w:r>
      <w:r w:rsidRPr="00A058EC">
        <w:t>for non-HRA</w:t>
      </w:r>
      <w:r>
        <w:t xml:space="preserve"> borrowing</w:t>
      </w:r>
      <w:r w:rsidRPr="00406B22">
        <w:t xml:space="preserve">.  </w:t>
      </w:r>
      <w:r>
        <w:t>Uncertainties in the economy arising from the C</w:t>
      </w:r>
      <w:r w:rsidR="00CD5621">
        <w:t>OVID</w:t>
      </w:r>
      <w:r>
        <w:t>-19 pandemic could also affect these forecasts.</w:t>
      </w:r>
    </w:p>
    <w:p w:rsidR="00140D1A" w:rsidRDefault="00140D1A" w:rsidP="0090175E">
      <w:pPr>
        <w:ind w:left="709" w:hanging="709"/>
      </w:pPr>
    </w:p>
    <w:p w:rsidR="00140D1A" w:rsidRDefault="00140D1A" w:rsidP="007E34DD">
      <w:pPr>
        <w:pStyle w:val="ListParagraph"/>
        <w:numPr>
          <w:ilvl w:val="0"/>
          <w:numId w:val="40"/>
        </w:numPr>
        <w:ind w:left="709" w:hanging="709"/>
      </w:pPr>
      <w:r>
        <w:t>The Bank of England base rate reduced from 0.75% to 0.25% on 11</w:t>
      </w:r>
      <w:r w:rsidRPr="00DB6B2A">
        <w:rPr>
          <w:vertAlign w:val="superscript"/>
        </w:rPr>
        <w:t>th</w:t>
      </w:r>
      <w:r>
        <w:t xml:space="preserve"> March 2020 and then subsequently to 0.10% on 19</w:t>
      </w:r>
      <w:r w:rsidRPr="00DB6B2A">
        <w:rPr>
          <w:vertAlign w:val="superscript"/>
        </w:rPr>
        <w:t>th</w:t>
      </w:r>
      <w:r>
        <w:t xml:space="preserve"> March 2020.  T</w:t>
      </w:r>
      <w:r w:rsidRPr="00BA67D7">
        <w:t xml:space="preserve">he Bank of England’s Monetary Policy Committee kept </w:t>
      </w:r>
      <w:r>
        <w:t xml:space="preserve">the </w:t>
      </w:r>
      <w:r w:rsidRPr="00BA67D7">
        <w:t xml:space="preserve">Bank </w:t>
      </w:r>
      <w:r>
        <w:t>base r</w:t>
      </w:r>
      <w:r w:rsidRPr="00BA67D7">
        <w:t xml:space="preserve">ate unchanged on 6th August and subsequently </w:t>
      </w:r>
      <w:r w:rsidR="00461B4B">
        <w:t xml:space="preserve">on </w:t>
      </w:r>
      <w:r w:rsidRPr="00BA67D7">
        <w:t>16th September</w:t>
      </w:r>
      <w:r w:rsidR="00F04BA4">
        <w:t xml:space="preserve"> 2020</w:t>
      </w:r>
      <w:r w:rsidRPr="00BA67D7">
        <w:t>. It also kept the level of quantitative easing</w:t>
      </w:r>
      <w:r>
        <w:t xml:space="preserve"> (QE)</w:t>
      </w:r>
      <w:r w:rsidRPr="00BA67D7">
        <w:t xml:space="preserve"> unchanged at £745bn</w:t>
      </w:r>
      <w:r>
        <w:t xml:space="preserve"> and</w:t>
      </w:r>
      <w:r w:rsidRPr="00BA67D7">
        <w:t xml:space="preserve"> also </w:t>
      </w:r>
      <w:r>
        <w:t xml:space="preserve">indicated that there would not be any use </w:t>
      </w:r>
      <w:r w:rsidRPr="00BA67D7">
        <w:t>of negative interest rates</w:t>
      </w:r>
      <w:r>
        <w:t xml:space="preserve"> in,</w:t>
      </w:r>
      <w:r w:rsidRPr="00BA67D7">
        <w:t xml:space="preserve"> at least</w:t>
      </w:r>
      <w:r>
        <w:t xml:space="preserve">, </w:t>
      </w:r>
      <w:r w:rsidRPr="00BA67D7">
        <w:t>the next six months</w:t>
      </w:r>
      <w:r>
        <w:t xml:space="preserve"> </w:t>
      </w:r>
      <w:r w:rsidRPr="00BA67D7">
        <w:t xml:space="preserve">while the Bank carries out research work with high street banks on the potential impact on them of negative rates. </w:t>
      </w:r>
      <w:r>
        <w:t xml:space="preserve"> </w:t>
      </w:r>
      <w:r w:rsidRPr="00BA67D7">
        <w:t xml:space="preserve">It suggested that while negative rates can work in some circumstances, it would be “less effective as a tool to stimulate the economy” at this time when banks are worried about future loan losses. It also </w:t>
      </w:r>
      <w:r>
        <w:t xml:space="preserve">stated that it </w:t>
      </w:r>
      <w:r w:rsidRPr="00BA67D7">
        <w:t>has “other instruments available”, including QE and the use of forward guidance.</w:t>
      </w:r>
    </w:p>
    <w:p w:rsidR="00140D1A" w:rsidRDefault="00140D1A" w:rsidP="0090175E">
      <w:pPr>
        <w:ind w:left="709" w:hanging="709"/>
      </w:pPr>
    </w:p>
    <w:p w:rsidR="00C76527" w:rsidRPr="00546536" w:rsidRDefault="00C76527" w:rsidP="0090175E">
      <w:pPr>
        <w:ind w:left="709" w:hanging="709"/>
      </w:pPr>
    </w:p>
    <w:p w:rsidR="00140D1A" w:rsidRPr="00546536" w:rsidRDefault="00140D1A" w:rsidP="00140D1A"/>
    <w:p w:rsidR="00140D1A" w:rsidRPr="00546536" w:rsidRDefault="00140D1A" w:rsidP="00140D1A">
      <w:pPr>
        <w:rPr>
          <w:b/>
          <w:bCs/>
        </w:rPr>
      </w:pPr>
      <w:r>
        <w:rPr>
          <w:b/>
          <w:bCs/>
        </w:rPr>
        <w:lastRenderedPageBreak/>
        <w:t>Public Works Loans Board (</w:t>
      </w:r>
      <w:r w:rsidRPr="00546536">
        <w:rPr>
          <w:b/>
          <w:bCs/>
        </w:rPr>
        <w:t>PWLB</w:t>
      </w:r>
      <w:r>
        <w:rPr>
          <w:b/>
          <w:bCs/>
        </w:rPr>
        <w:t>)</w:t>
      </w:r>
      <w:r w:rsidRPr="00546536">
        <w:rPr>
          <w:b/>
          <w:bCs/>
        </w:rPr>
        <w:t xml:space="preserve"> Borrowing Rates </w:t>
      </w:r>
    </w:p>
    <w:p w:rsidR="00140D1A" w:rsidRPr="00546536" w:rsidRDefault="00140D1A" w:rsidP="00140D1A"/>
    <w:p w:rsidR="00140D1A" w:rsidRPr="00DB6B2A" w:rsidRDefault="00140D1A" w:rsidP="007E34DD">
      <w:pPr>
        <w:pStyle w:val="ListParagraph"/>
        <w:numPr>
          <w:ilvl w:val="0"/>
          <w:numId w:val="40"/>
        </w:numPr>
        <w:ind w:left="709" w:hanging="720"/>
        <w:rPr>
          <w:lang w:val="x-none"/>
        </w:rPr>
      </w:pPr>
      <w:r w:rsidRPr="00DB6B2A">
        <w:rPr>
          <w:lang w:val="x-none"/>
        </w:rPr>
        <w:t xml:space="preserve">On 9 October 2019 HM Treasury announced that with immediate effect it was increasing its PWLB borrowing rates. In a statement it reported that “Some local authorities have substantially increased their use of the PWLB in recent months, as the cost of borrowing has fallen to record lows. HM Treasury is therefore restoring interest rates to levels available in 2018, by increasing the margin that applies to new loans from the PWLB by 100bps (one percentage point) on top of usual lending terms.” </w:t>
      </w:r>
    </w:p>
    <w:p w:rsidR="00140D1A" w:rsidRDefault="00140D1A" w:rsidP="0090175E">
      <w:pPr>
        <w:ind w:left="709" w:hanging="720"/>
        <w:rPr>
          <w:lang w:val="x-none"/>
        </w:rPr>
      </w:pPr>
    </w:p>
    <w:p w:rsidR="00140D1A" w:rsidRPr="00DB6B2A" w:rsidRDefault="00140D1A" w:rsidP="007E34DD">
      <w:pPr>
        <w:pStyle w:val="ListParagraph"/>
        <w:numPr>
          <w:ilvl w:val="0"/>
          <w:numId w:val="40"/>
        </w:numPr>
        <w:ind w:left="709" w:hanging="720"/>
        <w:rPr>
          <w:lang w:val="x-none"/>
        </w:rPr>
      </w:pPr>
      <w:r w:rsidRPr="00DB6B2A">
        <w:rPr>
          <w:lang w:val="x-none"/>
        </w:rPr>
        <w:t xml:space="preserve">The Chancellor’s Budget on 11 March 2020 </w:t>
      </w:r>
      <w:r>
        <w:t xml:space="preserve">announced </w:t>
      </w:r>
      <w:r w:rsidRPr="00DB6B2A">
        <w:rPr>
          <w:lang w:val="x-none"/>
        </w:rPr>
        <w:t xml:space="preserve">a consultation </w:t>
      </w:r>
      <w:r>
        <w:t xml:space="preserve">on the use of the </w:t>
      </w:r>
      <w:r w:rsidRPr="00DB6B2A">
        <w:rPr>
          <w:lang w:val="x-none"/>
        </w:rPr>
        <w:t xml:space="preserve">PWLB </w:t>
      </w:r>
      <w:r>
        <w:t>which was released on 12</w:t>
      </w:r>
      <w:r w:rsidRPr="00DB6B2A">
        <w:rPr>
          <w:vertAlign w:val="superscript"/>
        </w:rPr>
        <w:t>th</w:t>
      </w:r>
      <w:r>
        <w:t xml:space="preserve"> March</w:t>
      </w:r>
      <w:r w:rsidR="003F1BF1">
        <w:t xml:space="preserve"> 2020</w:t>
      </w:r>
      <w:r>
        <w:t xml:space="preserve">.  The intent of the changes </w:t>
      </w:r>
      <w:r w:rsidR="00F04BA4">
        <w:t>is</w:t>
      </w:r>
      <w:r>
        <w:t xml:space="preserve"> to </w:t>
      </w:r>
      <w:r w:rsidRPr="00DB6B2A">
        <w:rPr>
          <w:lang w:val="x-none"/>
        </w:rPr>
        <w:t xml:space="preserve">counteract </w:t>
      </w:r>
      <w:r>
        <w:t xml:space="preserve">the use of PWLB borrowing to </w:t>
      </w:r>
      <w:r w:rsidRPr="00DB6B2A">
        <w:rPr>
          <w:lang w:val="x-none"/>
        </w:rPr>
        <w:t>fund commercial activities</w:t>
      </w:r>
      <w:r>
        <w:t>.  The announcement included</w:t>
      </w:r>
      <w:r w:rsidRPr="00DB6B2A">
        <w:rPr>
          <w:lang w:val="x-none"/>
        </w:rPr>
        <w:t>:</w:t>
      </w:r>
    </w:p>
    <w:p w:rsidR="00140D1A" w:rsidRPr="003E11B5" w:rsidRDefault="00140D1A" w:rsidP="007E34DD">
      <w:pPr>
        <w:pStyle w:val="ListParagraph"/>
        <w:numPr>
          <w:ilvl w:val="0"/>
          <w:numId w:val="13"/>
        </w:numPr>
        <w:spacing w:line="259" w:lineRule="auto"/>
        <w:ind w:left="1560"/>
        <w:contextualSpacing/>
        <w:rPr>
          <w:lang w:val="x-none"/>
        </w:rPr>
      </w:pPr>
      <w:r>
        <w:t>The</w:t>
      </w:r>
      <w:r w:rsidRPr="003E11B5">
        <w:rPr>
          <w:lang w:val="x-none"/>
        </w:rPr>
        <w:t xml:space="preserve"> consult</w:t>
      </w:r>
      <w:r>
        <w:t>ation</w:t>
      </w:r>
      <w:r w:rsidRPr="003E11B5">
        <w:rPr>
          <w:lang w:val="x-none"/>
        </w:rPr>
        <w:t xml:space="preserve"> on revising the terms of PWLB lending (</w:t>
      </w:r>
      <w:r>
        <w:t>both</w:t>
      </w:r>
      <w:r w:rsidRPr="003E11B5">
        <w:rPr>
          <w:lang w:val="x-none"/>
        </w:rPr>
        <w:t xml:space="preserve"> the process and </w:t>
      </w:r>
      <w:r>
        <w:t xml:space="preserve">the </w:t>
      </w:r>
      <w:r w:rsidRPr="003E11B5">
        <w:rPr>
          <w:lang w:val="x-none"/>
        </w:rPr>
        <w:t xml:space="preserve">interest rate), to ensure local authorities continue to </w:t>
      </w:r>
      <w:r>
        <w:t xml:space="preserve">use the PWLB to </w:t>
      </w:r>
      <w:r w:rsidRPr="003E11B5">
        <w:rPr>
          <w:lang w:val="x-none"/>
        </w:rPr>
        <w:t xml:space="preserve">invest in housing, infrastructure and front-line services </w:t>
      </w:r>
      <w:r>
        <w:t xml:space="preserve">and not in </w:t>
      </w:r>
      <w:r w:rsidRPr="003E11B5">
        <w:rPr>
          <w:lang w:val="x-none"/>
        </w:rPr>
        <w:t>commercial activities.</w:t>
      </w:r>
    </w:p>
    <w:p w:rsidR="00140D1A" w:rsidRPr="003E11B5" w:rsidRDefault="00140D1A" w:rsidP="007E34DD">
      <w:pPr>
        <w:pStyle w:val="ListParagraph"/>
        <w:numPr>
          <w:ilvl w:val="0"/>
          <w:numId w:val="13"/>
        </w:numPr>
        <w:spacing w:line="259" w:lineRule="auto"/>
        <w:ind w:left="1560"/>
        <w:contextualSpacing/>
        <w:rPr>
          <w:lang w:val="x-none"/>
        </w:rPr>
      </w:pPr>
      <w:r>
        <w:t>C</w:t>
      </w:r>
      <w:proofErr w:type="spellStart"/>
      <w:r w:rsidRPr="003E11B5">
        <w:rPr>
          <w:lang w:val="x-none"/>
        </w:rPr>
        <w:t>utting</w:t>
      </w:r>
      <w:proofErr w:type="spellEnd"/>
      <w:r w:rsidRPr="003E11B5">
        <w:rPr>
          <w:lang w:val="x-none"/>
        </w:rPr>
        <w:t xml:space="preserve"> the PWLB rate </w:t>
      </w:r>
      <w:r>
        <w:t>from Gilts +1</w:t>
      </w:r>
      <w:r w:rsidR="00F04BA4">
        <w:t>.</w:t>
      </w:r>
      <w:r>
        <w:t>80</w:t>
      </w:r>
      <w:r w:rsidR="00F04BA4">
        <w:t>%</w:t>
      </w:r>
      <w:r>
        <w:t xml:space="preserve"> </w:t>
      </w:r>
      <w:r w:rsidRPr="003E11B5">
        <w:rPr>
          <w:lang w:val="x-none"/>
        </w:rPr>
        <w:t xml:space="preserve">to Gilts + </w:t>
      </w:r>
      <w:r w:rsidR="00F04BA4">
        <w:t>0.8</w:t>
      </w:r>
      <w:r w:rsidRPr="003E11B5">
        <w:rPr>
          <w:lang w:val="x-none"/>
        </w:rPr>
        <w:t>0</w:t>
      </w:r>
      <w:r w:rsidR="00F04BA4">
        <w:t>%</w:t>
      </w:r>
      <w:r w:rsidRPr="003E11B5">
        <w:rPr>
          <w:lang w:val="x-none"/>
        </w:rPr>
        <w:t xml:space="preserve"> for social housing projects (i.e. the PWLB Certainty Rate pre-October 2019), so HRA loans are available immediately.</w:t>
      </w:r>
    </w:p>
    <w:p w:rsidR="00140D1A" w:rsidRDefault="00140D1A" w:rsidP="007E34DD">
      <w:pPr>
        <w:pStyle w:val="ListParagraph"/>
        <w:numPr>
          <w:ilvl w:val="0"/>
          <w:numId w:val="13"/>
        </w:numPr>
        <w:spacing w:line="259" w:lineRule="auto"/>
        <w:ind w:left="1560"/>
        <w:contextualSpacing/>
        <w:rPr>
          <w:lang w:val="x-none"/>
        </w:rPr>
      </w:pPr>
      <w:r w:rsidRPr="003E11B5">
        <w:rPr>
          <w:lang w:val="x-none"/>
        </w:rPr>
        <w:t xml:space="preserve">Making an extra £1.15bn of discounted loans available for local infrastructure projects (at gilts + </w:t>
      </w:r>
      <w:r w:rsidR="00F04BA4">
        <w:t>0.6</w:t>
      </w:r>
      <w:r w:rsidRPr="003E11B5">
        <w:rPr>
          <w:lang w:val="x-none"/>
        </w:rPr>
        <w:t>0</w:t>
      </w:r>
      <w:r w:rsidR="00F04BA4">
        <w:t>%</w:t>
      </w:r>
      <w:r w:rsidRPr="003E11B5">
        <w:rPr>
          <w:lang w:val="x-none"/>
        </w:rPr>
        <w:t>); and</w:t>
      </w:r>
    </w:p>
    <w:p w:rsidR="00140D1A" w:rsidRDefault="00140D1A" w:rsidP="007E34DD">
      <w:pPr>
        <w:pStyle w:val="ListParagraph"/>
        <w:numPr>
          <w:ilvl w:val="0"/>
          <w:numId w:val="13"/>
        </w:numPr>
        <w:spacing w:line="259" w:lineRule="auto"/>
        <w:ind w:left="1560"/>
        <w:contextualSpacing/>
        <w:rPr>
          <w:lang w:val="x-none"/>
        </w:rPr>
      </w:pPr>
      <w:r w:rsidRPr="003E11B5">
        <w:rPr>
          <w:lang w:val="x-none"/>
        </w:rPr>
        <w:t>The Government will also re-set its power to increase the PWLB lending limit.</w:t>
      </w:r>
    </w:p>
    <w:p w:rsidR="00140D1A" w:rsidRDefault="00140D1A" w:rsidP="0090175E">
      <w:pPr>
        <w:ind w:left="709"/>
        <w:rPr>
          <w:lang w:val="x-none"/>
        </w:rPr>
      </w:pPr>
    </w:p>
    <w:p w:rsidR="00A06FB1" w:rsidRDefault="00140D1A" w:rsidP="007E34DD">
      <w:pPr>
        <w:pStyle w:val="ListParagraph"/>
        <w:numPr>
          <w:ilvl w:val="0"/>
          <w:numId w:val="41"/>
        </w:numPr>
        <w:ind w:left="709" w:hanging="709"/>
      </w:pPr>
      <w:r>
        <w:t>The consultation closed (following an extension of the original deadline) on 31</w:t>
      </w:r>
      <w:r w:rsidRPr="00D5725F">
        <w:rPr>
          <w:vertAlign w:val="superscript"/>
        </w:rPr>
        <w:t>st</w:t>
      </w:r>
      <w:r>
        <w:t xml:space="preserve"> July 2020</w:t>
      </w:r>
      <w:r w:rsidR="00A06FB1">
        <w:t xml:space="preserve"> and on 2</w:t>
      </w:r>
      <w:r w:rsidR="00287FED">
        <w:t>5</w:t>
      </w:r>
      <w:r w:rsidR="00A06FB1" w:rsidRPr="00D5725F">
        <w:rPr>
          <w:vertAlign w:val="superscript"/>
        </w:rPr>
        <w:t>th</w:t>
      </w:r>
      <w:r w:rsidR="00A06FB1">
        <w:t xml:space="preserve"> November</w:t>
      </w:r>
      <w:r w:rsidR="003F1BF1">
        <w:t xml:space="preserve"> 2020</w:t>
      </w:r>
      <w:r w:rsidR="00A06FB1">
        <w:t xml:space="preserve"> the Government produced their response. Within their response they have immediately cut the PWLB </w:t>
      </w:r>
      <w:r w:rsidR="00D5725F">
        <w:t>lending rates by 1%</w:t>
      </w:r>
    </w:p>
    <w:p w:rsidR="00D5725F" w:rsidRDefault="00D5725F" w:rsidP="00D5725F">
      <w:pPr>
        <w:pStyle w:val="ListParagraph"/>
      </w:pPr>
    </w:p>
    <w:p w:rsidR="00A06FB1" w:rsidRPr="00B436F1" w:rsidRDefault="0090175E" w:rsidP="00B436F1">
      <w:pPr>
        <w:ind w:left="720" w:hanging="720"/>
      </w:pPr>
      <w:r>
        <w:t>16</w:t>
      </w:r>
      <w:r w:rsidR="00A06FB1" w:rsidRPr="00B436F1">
        <w:tab/>
        <w:t xml:space="preserve">These new terms will apply to all loans arranged from </w:t>
      </w:r>
      <w:r w:rsidR="00A06FB1" w:rsidRPr="00D5725F">
        <w:rPr>
          <w:bCs/>
        </w:rPr>
        <w:t>9am on 26 November 2020.</w:t>
      </w:r>
      <w:r w:rsidR="00A06FB1" w:rsidRPr="00B436F1">
        <w:rPr>
          <w:b/>
          <w:bCs/>
        </w:rPr>
        <w:t xml:space="preserve"> </w:t>
      </w:r>
      <w:r w:rsidR="00CD5621">
        <w:t>The c</w:t>
      </w:r>
      <w:r w:rsidR="00A06FB1" w:rsidRPr="00B436F1">
        <w:t xml:space="preserve">onsultation did raise the concern that if the Council is deemed to be using any amount of PWLB to fund the purchase of assets purely for financial gain then it would be prevented from using this facility to fund any activity within its capital programme for the year in which the activity takes place. Guidance will be provided to support Local Authorities to determine if a proposed project is an appropriate use of PWLB loans. Details will be published on the Debt Management Office website and officers will need to determine </w:t>
      </w:r>
      <w:r w:rsidR="00B436F1" w:rsidRPr="00B436F1">
        <w:t>the implications o</w:t>
      </w:r>
      <w:r w:rsidR="00D5725F">
        <w:t>n</w:t>
      </w:r>
      <w:r w:rsidR="00B436F1" w:rsidRPr="00B436F1">
        <w:t xml:space="preserve"> t</w:t>
      </w:r>
      <w:r w:rsidR="003F1BF1">
        <w:t>he Councils Investment Strategy and will bring back any proposed revisions to both this strategy and the Capital Strategy when it is reported back to Cabinet and Council in February in 2021.</w:t>
      </w:r>
    </w:p>
    <w:p w:rsidR="00A06FB1" w:rsidRDefault="00A06FB1" w:rsidP="00A06FB1"/>
    <w:p w:rsidR="00C76527" w:rsidRDefault="00C76527" w:rsidP="00A06FB1"/>
    <w:p w:rsidR="00C76527" w:rsidRDefault="00C76527" w:rsidP="00A06FB1"/>
    <w:p w:rsidR="00C76527" w:rsidRDefault="00C76527" w:rsidP="00A06FB1"/>
    <w:p w:rsidR="00C76527" w:rsidRDefault="00C76527" w:rsidP="00A06FB1"/>
    <w:p w:rsidR="00C76527" w:rsidRDefault="00C76527" w:rsidP="00A06FB1"/>
    <w:p w:rsidR="00C76527" w:rsidRDefault="00C76527" w:rsidP="00A06FB1"/>
    <w:p w:rsidR="00140D1A" w:rsidRPr="00A134C7" w:rsidRDefault="00140D1A" w:rsidP="000F4C48">
      <w:pPr>
        <w:pStyle w:val="NormalWeb"/>
        <w:spacing w:before="0" w:beforeAutospacing="0" w:after="0" w:afterAutospacing="0"/>
        <w:ind w:left="709" w:hanging="709"/>
        <w:rPr>
          <w:rFonts w:ascii="Arial" w:hAnsi="Arial" w:cs="Arial"/>
          <w:b/>
          <w:lang w:val="en" w:eastAsia="en-GB"/>
        </w:rPr>
      </w:pPr>
    </w:p>
    <w:p w:rsidR="003A4FFD" w:rsidRPr="00A134C7" w:rsidRDefault="003A4FFD" w:rsidP="009D6A5F">
      <w:pPr>
        <w:pStyle w:val="NormalWeb"/>
        <w:tabs>
          <w:tab w:val="left" w:pos="720"/>
        </w:tabs>
        <w:spacing w:before="0" w:beforeAutospacing="0" w:after="300" w:afterAutospacing="0"/>
        <w:rPr>
          <w:rFonts w:ascii="Arial" w:hAnsi="Arial" w:cs="Arial"/>
          <w:b/>
          <w:color w:val="464B51"/>
          <w:lang w:eastAsia="en-GB"/>
        </w:rPr>
      </w:pPr>
      <w:r w:rsidRPr="00A134C7">
        <w:rPr>
          <w:rFonts w:ascii="Arial" w:hAnsi="Arial" w:cs="Arial"/>
          <w:b/>
          <w:color w:val="464B51"/>
          <w:lang w:eastAsia="en-GB"/>
        </w:rPr>
        <w:lastRenderedPageBreak/>
        <w:t>Inflation</w:t>
      </w:r>
      <w:r w:rsidR="00117184">
        <w:rPr>
          <w:rFonts w:ascii="Arial" w:hAnsi="Arial" w:cs="Arial"/>
          <w:b/>
          <w:color w:val="464B51"/>
          <w:lang w:eastAsia="en-GB"/>
        </w:rPr>
        <w:t xml:space="preserve"> and GDP</w:t>
      </w:r>
    </w:p>
    <w:p w:rsidR="005C6A9A" w:rsidRPr="00117184" w:rsidRDefault="00117184" w:rsidP="007E34DD">
      <w:pPr>
        <w:pStyle w:val="NormalWeb"/>
        <w:numPr>
          <w:ilvl w:val="0"/>
          <w:numId w:val="42"/>
        </w:numPr>
        <w:tabs>
          <w:tab w:val="left" w:pos="720"/>
        </w:tabs>
        <w:spacing w:before="0" w:beforeAutospacing="0" w:after="300" w:afterAutospacing="0"/>
        <w:ind w:left="709" w:hanging="709"/>
        <w:rPr>
          <w:rFonts w:ascii="Arial" w:hAnsi="Arial" w:cs="Arial"/>
          <w:b/>
          <w:color w:val="464B51"/>
          <w:lang w:eastAsia="en-GB"/>
        </w:rPr>
      </w:pPr>
      <w:r>
        <w:rPr>
          <w:rFonts w:ascii="Arial" w:hAnsi="Arial" w:cs="Arial"/>
          <w:color w:val="323132"/>
          <w:shd w:val="clear" w:color="auto" w:fill="FFFFFF"/>
        </w:rPr>
        <w:t>Information on inflation and GDP was published alongside the Spending Review included the following :</w:t>
      </w:r>
    </w:p>
    <w:p w:rsidR="00117184" w:rsidRPr="00A134C7" w:rsidRDefault="00117184" w:rsidP="00117184">
      <w:pPr>
        <w:pStyle w:val="NormalWeb"/>
        <w:tabs>
          <w:tab w:val="left" w:pos="720"/>
        </w:tabs>
        <w:spacing w:before="0" w:beforeAutospacing="0" w:after="300" w:afterAutospacing="0"/>
        <w:ind w:left="720"/>
        <w:rPr>
          <w:rFonts w:ascii="Arial" w:hAnsi="Arial" w:cs="Arial"/>
          <w:b/>
          <w:color w:val="464B51"/>
          <w:lang w:eastAsia="en-GB"/>
        </w:rPr>
      </w:pPr>
      <w:r w:rsidRPr="00117184">
        <w:rPr>
          <w:noProof/>
          <w:lang w:eastAsia="en-GB"/>
        </w:rPr>
        <w:drawing>
          <wp:inline distT="0" distB="0" distL="0" distR="0">
            <wp:extent cx="5494020" cy="12979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4020" cy="1297940"/>
                    </a:xfrm>
                    <a:prstGeom prst="rect">
                      <a:avLst/>
                    </a:prstGeom>
                    <a:noFill/>
                    <a:ln>
                      <a:noFill/>
                    </a:ln>
                  </pic:spPr>
                </pic:pic>
              </a:graphicData>
            </a:graphic>
          </wp:inline>
        </w:drawing>
      </w:r>
    </w:p>
    <w:p w:rsidR="00384BE3" w:rsidRDefault="00731C9C" w:rsidP="00B80EBF">
      <w:pPr>
        <w:spacing w:after="120"/>
        <w:ind w:right="386" w:firstLine="24"/>
        <w:rPr>
          <w:b/>
        </w:rPr>
      </w:pPr>
      <w:r w:rsidRPr="00A134C7">
        <w:rPr>
          <w:b/>
        </w:rPr>
        <w:t>Corporate Priorities</w:t>
      </w:r>
    </w:p>
    <w:p w:rsidR="00DB6B2A" w:rsidRPr="002E5017" w:rsidRDefault="00DB6B2A" w:rsidP="00B80EBF">
      <w:pPr>
        <w:spacing w:after="120"/>
        <w:ind w:right="386" w:firstLine="24"/>
        <w:rPr>
          <w:b/>
        </w:rPr>
      </w:pPr>
    </w:p>
    <w:p w:rsidR="000B78D2" w:rsidRDefault="000B78D2" w:rsidP="007E34DD">
      <w:pPr>
        <w:pStyle w:val="ListParagraph"/>
        <w:numPr>
          <w:ilvl w:val="0"/>
          <w:numId w:val="42"/>
        </w:numPr>
        <w:spacing w:after="120"/>
        <w:ind w:left="709" w:right="386" w:hanging="720"/>
      </w:pPr>
      <w:r w:rsidRPr="002E5017">
        <w:t xml:space="preserve">As in previous year the Cabinet will set a consultation budget in December with a view to presenting a final budget taking account </w:t>
      </w:r>
      <w:r w:rsidR="00F04BA4">
        <w:t xml:space="preserve">of </w:t>
      </w:r>
      <w:r w:rsidRPr="002E5017">
        <w:t xml:space="preserve">the results of this consultation to Cabinet and Council in </w:t>
      </w:r>
      <w:r w:rsidR="00D93703" w:rsidRPr="002E5017">
        <w:t>F</w:t>
      </w:r>
      <w:r w:rsidR="00D93703">
        <w:t>ebruary</w:t>
      </w:r>
      <w:r w:rsidR="00382904">
        <w:t xml:space="preserve"> 2021 in line with its key </w:t>
      </w:r>
      <w:r w:rsidR="00D93703">
        <w:t>corporate</w:t>
      </w:r>
      <w:r w:rsidR="00382904">
        <w:t xml:space="preserve"> priorities</w:t>
      </w:r>
      <w:r w:rsidR="008F4F7B">
        <w:t xml:space="preserve"> approved at Cabinet in February 2020</w:t>
      </w:r>
      <w:r w:rsidR="00382904">
        <w:t xml:space="preserve"> of:</w:t>
      </w:r>
    </w:p>
    <w:p w:rsidR="00382904" w:rsidRPr="00731C9C" w:rsidRDefault="00CD5621" w:rsidP="00F7377A">
      <w:pPr>
        <w:pStyle w:val="ListParagraph"/>
        <w:numPr>
          <w:ilvl w:val="0"/>
          <w:numId w:val="7"/>
        </w:numPr>
        <w:contextualSpacing/>
      </w:pPr>
      <w:r>
        <w:rPr>
          <w:b/>
        </w:rPr>
        <w:t>Enable</w:t>
      </w:r>
      <w:r w:rsidR="00382904" w:rsidRPr="00731C9C">
        <w:rPr>
          <w:b/>
        </w:rPr>
        <w:t xml:space="preserve"> an inclusive economy</w:t>
      </w:r>
      <w:r w:rsidR="00382904" w:rsidRPr="00731C9C">
        <w:t>, key deliverables include:</w:t>
      </w:r>
    </w:p>
    <w:p w:rsidR="00382904" w:rsidRPr="00731C9C" w:rsidRDefault="00382904" w:rsidP="00F7377A">
      <w:pPr>
        <w:pStyle w:val="ListParagraph"/>
        <w:numPr>
          <w:ilvl w:val="1"/>
          <w:numId w:val="7"/>
        </w:numPr>
        <w:ind w:left="1560" w:hanging="426"/>
        <w:contextualSpacing/>
      </w:pPr>
      <w:r w:rsidRPr="00731C9C">
        <w:t>The Council’s staff are skilled and confident in delivering services our residents want and the workforce as a whole better reflects Oxford’s diverse population</w:t>
      </w:r>
    </w:p>
    <w:p w:rsidR="00382904" w:rsidRPr="00731C9C" w:rsidRDefault="00382904" w:rsidP="00F7377A">
      <w:pPr>
        <w:pStyle w:val="ListParagraph"/>
        <w:numPr>
          <w:ilvl w:val="1"/>
          <w:numId w:val="7"/>
        </w:numPr>
        <w:ind w:left="1560" w:hanging="426"/>
        <w:contextualSpacing/>
      </w:pPr>
      <w:r w:rsidRPr="00731C9C">
        <w:t>The Council’s supply chain supports more local businesses, including social enterprises and cooperatives, promoting wider benefits to the local economy</w:t>
      </w:r>
    </w:p>
    <w:p w:rsidR="00382904" w:rsidRPr="00731C9C" w:rsidRDefault="00382904" w:rsidP="00F7377A">
      <w:pPr>
        <w:pStyle w:val="ListParagraph"/>
        <w:numPr>
          <w:ilvl w:val="0"/>
          <w:numId w:val="7"/>
        </w:numPr>
        <w:contextualSpacing/>
      </w:pPr>
      <w:r w:rsidRPr="00731C9C">
        <w:rPr>
          <w:b/>
        </w:rPr>
        <w:t>Deliver more, affordable housing</w:t>
      </w:r>
      <w:r w:rsidRPr="00731C9C">
        <w:t>, key deliverables include</w:t>
      </w:r>
    </w:p>
    <w:p w:rsidR="00382904" w:rsidRPr="00731C9C" w:rsidRDefault="00382904" w:rsidP="00F7377A">
      <w:pPr>
        <w:pStyle w:val="ListParagraph"/>
        <w:numPr>
          <w:ilvl w:val="1"/>
          <w:numId w:val="7"/>
        </w:numPr>
        <w:ind w:left="1560" w:hanging="426"/>
        <w:contextualSpacing/>
        <w:rPr>
          <w:color w:val="000000" w:themeColor="text1"/>
          <w:lang w:eastAsia="en-GB"/>
        </w:rPr>
      </w:pPr>
      <w:r w:rsidRPr="00731C9C">
        <w:rPr>
          <w:color w:val="000000" w:themeColor="text1"/>
          <w:lang w:eastAsia="en-GB"/>
        </w:rPr>
        <w:t>The Council ha</w:t>
      </w:r>
      <w:r w:rsidR="00F04BA4">
        <w:rPr>
          <w:color w:val="000000" w:themeColor="text1"/>
          <w:lang w:eastAsia="en-GB"/>
        </w:rPr>
        <w:t>s</w:t>
      </w:r>
      <w:r w:rsidRPr="00731C9C">
        <w:rPr>
          <w:color w:val="000000" w:themeColor="text1"/>
          <w:lang w:eastAsia="en-GB"/>
        </w:rPr>
        <w:t xml:space="preserve"> increased the supply of high quality, energy efficient housing with a balanced mix of homes for sale and to rent at different price points </w:t>
      </w:r>
    </w:p>
    <w:p w:rsidR="00382904" w:rsidRPr="00731C9C" w:rsidRDefault="00382904" w:rsidP="00F7377A">
      <w:pPr>
        <w:pStyle w:val="ListParagraph"/>
        <w:numPr>
          <w:ilvl w:val="1"/>
          <w:numId w:val="7"/>
        </w:numPr>
        <w:ind w:left="1560" w:hanging="426"/>
        <w:contextualSpacing/>
        <w:rPr>
          <w:color w:val="000000" w:themeColor="text1"/>
          <w:lang w:eastAsia="en-GB"/>
        </w:rPr>
      </w:pPr>
      <w:r w:rsidRPr="00731C9C">
        <w:rPr>
          <w:color w:val="000000" w:themeColor="text1"/>
          <w:lang w:eastAsia="en-GB"/>
        </w:rPr>
        <w:t>The Council’s Blackbird Leys regeneration delivers high quality homes and a better use of space</w:t>
      </w:r>
    </w:p>
    <w:p w:rsidR="00382904" w:rsidRPr="00731C9C" w:rsidRDefault="00382904" w:rsidP="00F7377A">
      <w:pPr>
        <w:pStyle w:val="ListParagraph"/>
        <w:numPr>
          <w:ilvl w:val="1"/>
          <w:numId w:val="7"/>
        </w:numPr>
        <w:ind w:left="1560" w:hanging="426"/>
        <w:contextualSpacing/>
        <w:rPr>
          <w:color w:val="000000" w:themeColor="text1"/>
          <w:lang w:eastAsia="en-GB"/>
        </w:rPr>
      </w:pPr>
      <w:r w:rsidRPr="00731C9C">
        <w:rPr>
          <w:color w:val="000000" w:themeColor="text1"/>
          <w:lang w:eastAsia="en-GB"/>
        </w:rPr>
        <w:t>More Council and private sector tenants are supported to stay in their homes where they face the prospect of eviction</w:t>
      </w:r>
    </w:p>
    <w:p w:rsidR="00382904" w:rsidRPr="00731C9C" w:rsidRDefault="00382904" w:rsidP="00F7377A">
      <w:pPr>
        <w:pStyle w:val="ListParagraph"/>
        <w:numPr>
          <w:ilvl w:val="0"/>
          <w:numId w:val="7"/>
        </w:numPr>
        <w:ind w:left="1134" w:hanging="425"/>
        <w:contextualSpacing/>
      </w:pPr>
      <w:r w:rsidRPr="00731C9C">
        <w:rPr>
          <w:b/>
        </w:rPr>
        <w:t xml:space="preserve">Support </w:t>
      </w:r>
      <w:r w:rsidR="00CD5621">
        <w:rPr>
          <w:b/>
        </w:rPr>
        <w:t>thriving</w:t>
      </w:r>
      <w:r w:rsidRPr="00731C9C">
        <w:rPr>
          <w:b/>
        </w:rPr>
        <w:t xml:space="preserve"> communities</w:t>
      </w:r>
      <w:r w:rsidRPr="00731C9C">
        <w:t>, key deliverables include</w:t>
      </w:r>
    </w:p>
    <w:p w:rsidR="00382904" w:rsidRPr="00731C9C" w:rsidRDefault="00382904" w:rsidP="00F7377A">
      <w:pPr>
        <w:pStyle w:val="ListParagraph"/>
        <w:numPr>
          <w:ilvl w:val="1"/>
          <w:numId w:val="7"/>
        </w:numPr>
        <w:ind w:left="1560" w:hanging="426"/>
        <w:contextualSpacing/>
        <w:rPr>
          <w:color w:val="000000" w:themeColor="text1"/>
          <w:lang w:eastAsia="en-GB"/>
        </w:rPr>
      </w:pPr>
      <w:r w:rsidRPr="00731C9C">
        <w:rPr>
          <w:color w:val="000000" w:themeColor="text1"/>
          <w:lang w:eastAsia="en-GB"/>
        </w:rPr>
        <w:t>The Council’s services, grants, community and leisure facilities, parks and cultural events have helped reduce inequality, increase cohesion and improve health and wellbeing across Oxford’s communities</w:t>
      </w:r>
    </w:p>
    <w:p w:rsidR="00382904" w:rsidRPr="00731C9C" w:rsidRDefault="00382904" w:rsidP="00F7377A">
      <w:pPr>
        <w:pStyle w:val="ListParagraph"/>
        <w:numPr>
          <w:ilvl w:val="1"/>
          <w:numId w:val="7"/>
        </w:numPr>
        <w:ind w:left="1560" w:hanging="426"/>
        <w:contextualSpacing/>
        <w:rPr>
          <w:color w:val="000000" w:themeColor="text1"/>
          <w:lang w:eastAsia="en-GB"/>
        </w:rPr>
      </w:pPr>
      <w:r w:rsidRPr="00731C9C">
        <w:rPr>
          <w:color w:val="000000" w:themeColor="text1"/>
          <w:lang w:eastAsia="en-GB"/>
        </w:rPr>
        <w:t xml:space="preserve">Children and young people’s resilience and confidence is increased through the educational and recreational activities </w:t>
      </w:r>
      <w:r w:rsidR="00F04BA4">
        <w:rPr>
          <w:color w:val="000000" w:themeColor="text1"/>
          <w:lang w:eastAsia="en-GB"/>
        </w:rPr>
        <w:t>the Council</w:t>
      </w:r>
      <w:r w:rsidRPr="00731C9C">
        <w:rPr>
          <w:color w:val="000000" w:themeColor="text1"/>
          <w:lang w:eastAsia="en-GB"/>
        </w:rPr>
        <w:t xml:space="preserve"> offer</w:t>
      </w:r>
      <w:r w:rsidR="00F04BA4">
        <w:rPr>
          <w:color w:val="000000" w:themeColor="text1"/>
          <w:lang w:eastAsia="en-GB"/>
        </w:rPr>
        <w:t>s</w:t>
      </w:r>
    </w:p>
    <w:p w:rsidR="00382904" w:rsidRPr="00731C9C" w:rsidRDefault="00382904" w:rsidP="00F7377A">
      <w:pPr>
        <w:pStyle w:val="ListParagraph"/>
        <w:numPr>
          <w:ilvl w:val="1"/>
          <w:numId w:val="7"/>
        </w:numPr>
        <w:ind w:left="1560" w:hanging="426"/>
        <w:contextualSpacing/>
        <w:rPr>
          <w:color w:val="000000" w:themeColor="text1"/>
          <w:lang w:eastAsia="en-GB"/>
        </w:rPr>
      </w:pPr>
      <w:r w:rsidRPr="00731C9C">
        <w:rPr>
          <w:color w:val="000000" w:themeColor="text1"/>
          <w:lang w:eastAsia="en-GB"/>
        </w:rPr>
        <w:t>The Council’s public spaces remain clean, safe, well maintained and are more accessible</w:t>
      </w:r>
    </w:p>
    <w:p w:rsidR="00382904" w:rsidRPr="00731C9C" w:rsidRDefault="00382904" w:rsidP="00F7377A">
      <w:pPr>
        <w:pStyle w:val="ListParagraph"/>
        <w:numPr>
          <w:ilvl w:val="0"/>
          <w:numId w:val="7"/>
        </w:numPr>
        <w:ind w:left="1134" w:hanging="425"/>
        <w:contextualSpacing/>
      </w:pPr>
      <w:r w:rsidRPr="00731C9C">
        <w:rPr>
          <w:b/>
        </w:rPr>
        <w:t>Pursue a zero carbon Oxford</w:t>
      </w:r>
      <w:r w:rsidRPr="00731C9C">
        <w:t xml:space="preserve"> key deliverables include</w:t>
      </w:r>
    </w:p>
    <w:p w:rsidR="00382904" w:rsidRPr="00731C9C" w:rsidRDefault="00382904" w:rsidP="00F7377A">
      <w:pPr>
        <w:pStyle w:val="ListParagraph"/>
        <w:numPr>
          <w:ilvl w:val="1"/>
          <w:numId w:val="7"/>
        </w:numPr>
        <w:ind w:left="1560" w:hanging="426"/>
        <w:contextualSpacing/>
        <w:rPr>
          <w:color w:val="000000" w:themeColor="text1"/>
          <w:lang w:eastAsia="en-GB"/>
        </w:rPr>
      </w:pPr>
      <w:r w:rsidRPr="00731C9C">
        <w:rPr>
          <w:color w:val="000000" w:themeColor="text1"/>
          <w:lang w:eastAsia="en-GB"/>
        </w:rPr>
        <w:t>The City Council making significant progress on the journey to reduce its own carbon footprint to zero</w:t>
      </w:r>
    </w:p>
    <w:p w:rsidR="00382904" w:rsidRPr="00731C9C" w:rsidRDefault="00382904" w:rsidP="00F7377A">
      <w:pPr>
        <w:pStyle w:val="ListParagraph"/>
        <w:numPr>
          <w:ilvl w:val="1"/>
          <w:numId w:val="7"/>
        </w:numPr>
        <w:ind w:left="1560" w:hanging="426"/>
        <w:contextualSpacing/>
        <w:rPr>
          <w:color w:val="000000" w:themeColor="text1"/>
          <w:lang w:eastAsia="en-GB"/>
        </w:rPr>
      </w:pPr>
      <w:r w:rsidRPr="00731C9C">
        <w:rPr>
          <w:color w:val="000000" w:themeColor="text1"/>
          <w:lang w:eastAsia="en-GB"/>
        </w:rPr>
        <w:t>All new building by the Council progressing towards near or net-zero carbon standards</w:t>
      </w:r>
    </w:p>
    <w:p w:rsidR="00382904" w:rsidRPr="00731C9C" w:rsidRDefault="00382904" w:rsidP="00F7377A">
      <w:pPr>
        <w:pStyle w:val="ListParagraph"/>
        <w:numPr>
          <w:ilvl w:val="1"/>
          <w:numId w:val="7"/>
        </w:numPr>
        <w:ind w:left="1560" w:hanging="426"/>
        <w:contextualSpacing/>
        <w:rPr>
          <w:color w:val="000000" w:themeColor="text1"/>
          <w:lang w:eastAsia="en-GB"/>
        </w:rPr>
      </w:pPr>
      <w:r w:rsidRPr="00731C9C">
        <w:rPr>
          <w:color w:val="000000" w:themeColor="text1"/>
          <w:lang w:eastAsia="en-GB"/>
        </w:rPr>
        <w:t>The Council’s existing council housing is being made more energy efficient</w:t>
      </w:r>
    </w:p>
    <w:p w:rsidR="00382904" w:rsidRDefault="00382904" w:rsidP="00B80EBF">
      <w:pPr>
        <w:spacing w:after="120"/>
        <w:ind w:right="386" w:firstLine="24"/>
      </w:pPr>
    </w:p>
    <w:p w:rsidR="00731C9C" w:rsidRDefault="00731C9C" w:rsidP="00B80EBF">
      <w:pPr>
        <w:spacing w:after="120"/>
        <w:ind w:right="386" w:firstLine="24"/>
        <w:rPr>
          <w:b/>
        </w:rPr>
      </w:pPr>
      <w:r w:rsidRPr="00731C9C">
        <w:rPr>
          <w:b/>
        </w:rPr>
        <w:t>Budget Strategy</w:t>
      </w:r>
    </w:p>
    <w:p w:rsidR="00DB6B2A" w:rsidRPr="00731C9C" w:rsidRDefault="00DB6B2A" w:rsidP="00B80EBF">
      <w:pPr>
        <w:spacing w:after="120"/>
        <w:ind w:right="386" w:firstLine="24"/>
        <w:rPr>
          <w:b/>
        </w:rPr>
      </w:pPr>
    </w:p>
    <w:p w:rsidR="00350FB5" w:rsidRPr="00DB6B2A" w:rsidRDefault="00350FB5" w:rsidP="007E34DD">
      <w:pPr>
        <w:pStyle w:val="ListParagraph"/>
        <w:numPr>
          <w:ilvl w:val="0"/>
          <w:numId w:val="43"/>
        </w:numPr>
        <w:spacing w:after="120"/>
        <w:ind w:left="709" w:right="386" w:hanging="709"/>
        <w:rPr>
          <w:rFonts w:cs="Arial"/>
        </w:rPr>
      </w:pPr>
      <w:r w:rsidRPr="00DB6B2A">
        <w:rPr>
          <w:rFonts w:cs="Arial"/>
        </w:rPr>
        <w:t>The COVID</w:t>
      </w:r>
      <w:r w:rsidR="00CD5621">
        <w:rPr>
          <w:rFonts w:cs="Arial"/>
        </w:rPr>
        <w:t xml:space="preserve"> 19</w:t>
      </w:r>
      <w:r w:rsidRPr="00DB6B2A">
        <w:rPr>
          <w:rFonts w:cs="Arial"/>
        </w:rPr>
        <w:t xml:space="preserve"> pandemic has introduced a high level of uncertainty into the budget setting process this year and consequently an increased level of level of risk to the councils financial planning. In February 2020 the Council agreed a balanced 4 year Medium Term Financial </w:t>
      </w:r>
      <w:r w:rsidR="00F04BA4">
        <w:rPr>
          <w:rFonts w:cs="Arial"/>
        </w:rPr>
        <w:t>Strategy</w:t>
      </w:r>
      <w:r w:rsidRPr="00DB6B2A">
        <w:rPr>
          <w:rFonts w:cs="Arial"/>
        </w:rPr>
        <w:t xml:space="preserve">. By June 2020 taking into account early forecasts of the financial implications of the pandemic this position was revised to £24 million deficit, with significant income losses forecast in car parking, town hall room hire, commercial rents and dividend returns from </w:t>
      </w:r>
      <w:r w:rsidR="00F04BA4">
        <w:rPr>
          <w:rFonts w:cs="Arial"/>
        </w:rPr>
        <w:t>the Council’s</w:t>
      </w:r>
      <w:r w:rsidRPr="00DB6B2A">
        <w:rPr>
          <w:rFonts w:cs="Arial"/>
        </w:rPr>
        <w:t xml:space="preserve"> wholly owned companies, Oxford Direct Services and Oxford City Housing Ltd. The Governments financial support to date has focused on </w:t>
      </w:r>
      <w:r w:rsidR="00461B4B">
        <w:rPr>
          <w:rFonts w:cs="Arial"/>
        </w:rPr>
        <w:t>mitigating extra spend and income losses</w:t>
      </w:r>
      <w:r w:rsidR="00461B4B" w:rsidRPr="00DB6B2A">
        <w:rPr>
          <w:rFonts w:cs="Arial"/>
        </w:rPr>
        <w:t xml:space="preserve"> </w:t>
      </w:r>
      <w:r w:rsidRPr="00DB6B2A">
        <w:rPr>
          <w:rFonts w:cs="Arial"/>
        </w:rPr>
        <w:t>this year but gives support for future years</w:t>
      </w:r>
      <w:r w:rsidR="00461B4B">
        <w:rPr>
          <w:rFonts w:cs="Arial"/>
        </w:rPr>
        <w:t>.</w:t>
      </w:r>
      <w:r w:rsidRPr="00DB6B2A">
        <w:rPr>
          <w:rFonts w:cs="Arial"/>
        </w:rPr>
        <w:t xml:space="preserve"> </w:t>
      </w:r>
    </w:p>
    <w:p w:rsidR="00350FB5" w:rsidRPr="00DB6B2A" w:rsidRDefault="00350FB5" w:rsidP="007E34DD">
      <w:pPr>
        <w:pStyle w:val="ListParagraph"/>
        <w:numPr>
          <w:ilvl w:val="0"/>
          <w:numId w:val="43"/>
        </w:numPr>
        <w:spacing w:after="120"/>
        <w:ind w:left="709" w:right="386" w:hanging="720"/>
        <w:rPr>
          <w:rFonts w:cs="Arial"/>
        </w:rPr>
      </w:pPr>
      <w:r w:rsidRPr="00DB6B2A">
        <w:rPr>
          <w:rFonts w:cs="Arial"/>
        </w:rPr>
        <w:t>As the country enters it</w:t>
      </w:r>
      <w:r w:rsidR="00F04BA4">
        <w:rPr>
          <w:rFonts w:cs="Arial"/>
        </w:rPr>
        <w:t>s second national lockdown the C</w:t>
      </w:r>
      <w:r w:rsidRPr="00DB6B2A">
        <w:rPr>
          <w:rFonts w:cs="Arial"/>
        </w:rPr>
        <w:t xml:space="preserve">ouncil has made </w:t>
      </w:r>
      <w:r w:rsidR="00603CCF">
        <w:rPr>
          <w:rFonts w:cs="Arial"/>
        </w:rPr>
        <w:t>every effort to balance its MTFS</w:t>
      </w:r>
      <w:r w:rsidRPr="00DB6B2A">
        <w:rPr>
          <w:rFonts w:cs="Arial"/>
        </w:rPr>
        <w:t xml:space="preserve"> for the next four years taking account of its key priorities such as homelessness and climate change which has necessitated taking difficult decisions to cut back on services much needed by its electorate and drawing heavily on reserves and balances to fill the financial holes. </w:t>
      </w:r>
    </w:p>
    <w:p w:rsidR="00384BE3" w:rsidRPr="002E5017" w:rsidRDefault="00384BE3" w:rsidP="00DB6B2A">
      <w:pPr>
        <w:spacing w:after="120"/>
        <w:ind w:right="386" w:hanging="720"/>
        <w:rPr>
          <w:b/>
        </w:rPr>
      </w:pPr>
    </w:p>
    <w:p w:rsidR="000B78D2" w:rsidRPr="00731C9C" w:rsidRDefault="00382904" w:rsidP="007E34DD">
      <w:pPr>
        <w:pStyle w:val="ListParagraph"/>
        <w:numPr>
          <w:ilvl w:val="0"/>
          <w:numId w:val="43"/>
        </w:numPr>
        <w:spacing w:after="120"/>
        <w:ind w:left="709" w:right="386" w:hanging="720"/>
      </w:pPr>
      <w:r w:rsidRPr="00731C9C">
        <w:t xml:space="preserve">The </w:t>
      </w:r>
      <w:r w:rsidR="004A48D9" w:rsidRPr="00731C9C">
        <w:t xml:space="preserve">budget re-set strategy </w:t>
      </w:r>
      <w:r w:rsidRPr="00731C9C">
        <w:t>has been undertaken by :</w:t>
      </w:r>
      <w:r w:rsidR="004A48D9" w:rsidRPr="00731C9C">
        <w:t xml:space="preserve"> </w:t>
      </w:r>
    </w:p>
    <w:p w:rsidR="004A48D9" w:rsidRPr="00731C9C" w:rsidRDefault="004A48D9" w:rsidP="00B80EBF">
      <w:pPr>
        <w:spacing w:after="120"/>
        <w:ind w:right="386" w:firstLine="24"/>
      </w:pPr>
    </w:p>
    <w:p w:rsidR="004A48D9" w:rsidRPr="00731C9C" w:rsidRDefault="004A48D9" w:rsidP="007E34DD">
      <w:pPr>
        <w:pStyle w:val="ListParagraph"/>
        <w:numPr>
          <w:ilvl w:val="0"/>
          <w:numId w:val="14"/>
        </w:numPr>
        <w:spacing w:after="120"/>
        <w:ind w:left="1134" w:right="386" w:hanging="425"/>
      </w:pPr>
      <w:r w:rsidRPr="00731C9C">
        <w:t>R</w:t>
      </w:r>
      <w:r w:rsidR="00731C9C">
        <w:t>eview</w:t>
      </w:r>
      <w:r w:rsidR="0045646F">
        <w:t>ing</w:t>
      </w:r>
      <w:r w:rsidR="00731C9C">
        <w:t xml:space="preserve"> all four year assumptions around changes to the base budget</w:t>
      </w:r>
    </w:p>
    <w:p w:rsidR="004A48D9" w:rsidRPr="00731C9C" w:rsidRDefault="004A48D9" w:rsidP="007E34DD">
      <w:pPr>
        <w:pStyle w:val="ListParagraph"/>
        <w:numPr>
          <w:ilvl w:val="0"/>
          <w:numId w:val="14"/>
        </w:numPr>
        <w:spacing w:after="120"/>
        <w:ind w:left="1134" w:right="386" w:hanging="425"/>
      </w:pPr>
      <w:r w:rsidRPr="00731C9C">
        <w:t>Review</w:t>
      </w:r>
      <w:r w:rsidR="00382904" w:rsidRPr="00731C9C">
        <w:t>ing</w:t>
      </w:r>
      <w:r w:rsidRPr="00731C9C">
        <w:t xml:space="preserve"> all growth in revenue and capital </w:t>
      </w:r>
      <w:r w:rsidR="00DB6B2A" w:rsidRPr="00731C9C">
        <w:t>expenditure</w:t>
      </w:r>
      <w:r w:rsidRPr="00731C9C">
        <w:t xml:space="preserve"> subject to pause </w:t>
      </w:r>
      <w:r w:rsidR="0045646F">
        <w:t xml:space="preserve">(see below) </w:t>
      </w:r>
      <w:r w:rsidRPr="00731C9C">
        <w:t>in June 2020</w:t>
      </w:r>
    </w:p>
    <w:p w:rsidR="004A48D9" w:rsidRPr="00731C9C" w:rsidRDefault="004A48D9" w:rsidP="007E34DD">
      <w:pPr>
        <w:pStyle w:val="ListParagraph"/>
        <w:numPr>
          <w:ilvl w:val="0"/>
          <w:numId w:val="14"/>
        </w:numPr>
        <w:spacing w:after="120"/>
        <w:ind w:left="1134" w:right="386" w:hanging="425"/>
      </w:pPr>
      <w:r w:rsidRPr="00731C9C">
        <w:t>Review</w:t>
      </w:r>
      <w:r w:rsidR="00382904" w:rsidRPr="00731C9C">
        <w:t>ing</w:t>
      </w:r>
      <w:r w:rsidRPr="00731C9C">
        <w:t xml:space="preserve"> all key income streams and take a prudent assumption on the future impact of COVID</w:t>
      </w:r>
      <w:r w:rsidR="00CD5621">
        <w:t xml:space="preserve"> 19</w:t>
      </w:r>
    </w:p>
    <w:p w:rsidR="004A48D9" w:rsidRPr="00731C9C" w:rsidRDefault="004A48D9" w:rsidP="007E34DD">
      <w:pPr>
        <w:pStyle w:val="ListParagraph"/>
        <w:numPr>
          <w:ilvl w:val="0"/>
          <w:numId w:val="14"/>
        </w:numPr>
        <w:spacing w:after="120"/>
        <w:ind w:left="1134" w:right="386" w:hanging="425"/>
      </w:pPr>
      <w:r w:rsidRPr="00731C9C">
        <w:t>I</w:t>
      </w:r>
      <w:r w:rsidR="00382904" w:rsidRPr="00731C9C">
        <w:t>ntroducing</w:t>
      </w:r>
      <w:r w:rsidRPr="00731C9C">
        <w:t xml:space="preserve"> officer proposals to reduce spend or in some instances increase </w:t>
      </w:r>
      <w:r w:rsidR="00DB6B2A" w:rsidRPr="00731C9C">
        <w:t>income</w:t>
      </w:r>
      <w:r w:rsidR="00DB6B2A">
        <w:t xml:space="preserve"> where it</w:t>
      </w:r>
      <w:r w:rsidR="00DB6B2A" w:rsidRPr="00731C9C">
        <w:t>’s</w:t>
      </w:r>
      <w:r w:rsidRPr="00731C9C">
        <w:t xml:space="preserve"> prudent to do so</w:t>
      </w:r>
    </w:p>
    <w:p w:rsidR="004A48D9" w:rsidRPr="00731C9C" w:rsidRDefault="004A48D9" w:rsidP="007E34DD">
      <w:pPr>
        <w:pStyle w:val="ListParagraph"/>
        <w:numPr>
          <w:ilvl w:val="0"/>
          <w:numId w:val="14"/>
        </w:numPr>
        <w:spacing w:after="120"/>
        <w:ind w:left="1134" w:right="386" w:hanging="425"/>
      </w:pPr>
      <w:r w:rsidRPr="00731C9C">
        <w:t>Assess</w:t>
      </w:r>
      <w:r w:rsidR="00382904" w:rsidRPr="00731C9C">
        <w:t>ing</w:t>
      </w:r>
      <w:r w:rsidRPr="00731C9C">
        <w:t xml:space="preserve"> the level of financial impact on the </w:t>
      </w:r>
      <w:r w:rsidR="00F04BA4">
        <w:t>C</w:t>
      </w:r>
      <w:r w:rsidR="00DB6B2A" w:rsidRPr="00731C9C">
        <w:t>ouncil</w:t>
      </w:r>
      <w:r w:rsidR="00F04BA4">
        <w:t>’</w:t>
      </w:r>
      <w:r w:rsidR="00DB6B2A" w:rsidRPr="00731C9C">
        <w:t>s</w:t>
      </w:r>
      <w:r w:rsidRPr="00731C9C">
        <w:t xml:space="preserve"> wholly owned companies and adjust the level of </w:t>
      </w:r>
      <w:r w:rsidR="00DB6B2A" w:rsidRPr="00731C9C">
        <w:t>dividend</w:t>
      </w:r>
      <w:r w:rsidRPr="00731C9C">
        <w:t xml:space="preserve"> and financial return to the Council accordingly.</w:t>
      </w:r>
    </w:p>
    <w:p w:rsidR="00DB6B2A" w:rsidRDefault="00DB6B2A" w:rsidP="00B80EBF">
      <w:pPr>
        <w:spacing w:after="120"/>
        <w:ind w:right="386" w:firstLine="24"/>
      </w:pPr>
    </w:p>
    <w:p w:rsidR="004A48D9" w:rsidRDefault="004A48D9" w:rsidP="007E34DD">
      <w:pPr>
        <w:pStyle w:val="ListParagraph"/>
        <w:numPr>
          <w:ilvl w:val="0"/>
          <w:numId w:val="44"/>
        </w:numPr>
        <w:spacing w:after="120"/>
        <w:ind w:right="386" w:hanging="744"/>
      </w:pPr>
      <w:r w:rsidRPr="00731C9C">
        <w:t>Taking account of this strategy the key assumptions are outlined below.</w:t>
      </w:r>
    </w:p>
    <w:p w:rsidR="00C37005" w:rsidRDefault="00C37005" w:rsidP="00B80EBF">
      <w:pPr>
        <w:spacing w:after="120"/>
        <w:ind w:right="386" w:firstLine="24"/>
      </w:pPr>
    </w:p>
    <w:p w:rsidR="00C37005" w:rsidRPr="00C37005" w:rsidRDefault="00C37005" w:rsidP="00C37005">
      <w:pPr>
        <w:autoSpaceDE w:val="0"/>
        <w:autoSpaceDN w:val="0"/>
        <w:spacing w:after="334"/>
        <w:contextualSpacing/>
        <w:rPr>
          <w:b/>
          <w:sz w:val="28"/>
          <w:szCs w:val="28"/>
        </w:rPr>
      </w:pPr>
      <w:r w:rsidRPr="00C37005">
        <w:rPr>
          <w:b/>
          <w:sz w:val="28"/>
          <w:szCs w:val="28"/>
        </w:rPr>
        <w:t>Section B General Fund Revenue Budget</w:t>
      </w:r>
    </w:p>
    <w:p w:rsidR="00C37005" w:rsidRDefault="00C37005" w:rsidP="00C37005">
      <w:pPr>
        <w:spacing w:after="120"/>
        <w:ind w:right="386" w:firstLine="24"/>
      </w:pPr>
    </w:p>
    <w:p w:rsidR="00C37005" w:rsidRPr="00E06060" w:rsidRDefault="00C37005" w:rsidP="007E34DD">
      <w:pPr>
        <w:pStyle w:val="ListParagraph"/>
        <w:numPr>
          <w:ilvl w:val="0"/>
          <w:numId w:val="44"/>
        </w:numPr>
        <w:spacing w:after="120"/>
        <w:ind w:right="386" w:hanging="720"/>
      </w:pPr>
      <w:r w:rsidRPr="00E06060">
        <w:t>Cabinet received a report on 24</w:t>
      </w:r>
      <w:r w:rsidRPr="00E06060">
        <w:rPr>
          <w:vertAlign w:val="superscript"/>
        </w:rPr>
        <w:t>th</w:t>
      </w:r>
      <w:r w:rsidRPr="00E06060">
        <w:t xml:space="preserve"> June </w:t>
      </w:r>
      <w:r w:rsidR="00E06060" w:rsidRPr="00E06060">
        <w:t xml:space="preserve">2020 </w:t>
      </w:r>
      <w:r w:rsidRPr="00E06060">
        <w:t xml:space="preserve">from the Head of Financial Services outlining the forecast </w:t>
      </w:r>
      <w:r w:rsidR="00D93703" w:rsidRPr="00E06060">
        <w:t>outturn</w:t>
      </w:r>
      <w:r w:rsidRPr="00E06060">
        <w:t xml:space="preserve"> position of the Councils finances for the year 2020-21 </w:t>
      </w:r>
      <w:r w:rsidR="00E06060" w:rsidRPr="00E06060">
        <w:t xml:space="preserve">and the Medium Term </w:t>
      </w:r>
      <w:r w:rsidRPr="00E06060">
        <w:t>based on information at the end of April</w:t>
      </w:r>
      <w:r w:rsidR="00115398">
        <w:t xml:space="preserve"> 2020</w:t>
      </w:r>
      <w:r w:rsidR="00ED69C8" w:rsidRPr="00E06060">
        <w:t xml:space="preserve">. </w:t>
      </w:r>
    </w:p>
    <w:p w:rsidR="00C16679" w:rsidRDefault="00C37005" w:rsidP="007E34DD">
      <w:pPr>
        <w:pStyle w:val="ListParagraph"/>
        <w:numPr>
          <w:ilvl w:val="0"/>
          <w:numId w:val="44"/>
        </w:numPr>
        <w:spacing w:after="120"/>
        <w:ind w:right="386" w:hanging="720"/>
      </w:pPr>
      <w:r w:rsidRPr="000F4DED">
        <w:lastRenderedPageBreak/>
        <w:t xml:space="preserve">Against a balanced budget position agreed by Council in </w:t>
      </w:r>
      <w:r w:rsidR="002F62E2" w:rsidRPr="000F4DED">
        <w:t>February</w:t>
      </w:r>
      <w:r w:rsidRPr="000F4DED">
        <w:t xml:space="preserve"> 2020 for the </w:t>
      </w:r>
      <w:r w:rsidR="00F04BA4">
        <w:t>four</w:t>
      </w:r>
      <w:r w:rsidRPr="000F4DED">
        <w:t xml:space="preserve"> year period 2020-21 to 2023-24 </w:t>
      </w:r>
      <w:r>
        <w:t>t</w:t>
      </w:r>
      <w:r w:rsidRPr="000F4DED">
        <w:t>he net deficit for 2020-21 was estimated at around £</w:t>
      </w:r>
      <w:r>
        <w:t>9.4</w:t>
      </w:r>
      <w:r w:rsidRPr="000F4DED">
        <w:t xml:space="preserve"> million with further deficits estimated at around £14.</w:t>
      </w:r>
      <w:r w:rsidR="0090175E">
        <w:t>5</w:t>
      </w:r>
      <w:r w:rsidRPr="000F4DED">
        <w:t xml:space="preserve"> million over the </w:t>
      </w:r>
      <w:proofErr w:type="spellStart"/>
      <w:r w:rsidRPr="000F4DED">
        <w:t>proceeding</w:t>
      </w:r>
      <w:proofErr w:type="spellEnd"/>
      <w:r w:rsidRPr="000F4DED">
        <w:t xml:space="preserve"> </w:t>
      </w:r>
      <w:r w:rsidR="00F04BA4">
        <w:t xml:space="preserve">three </w:t>
      </w:r>
      <w:r w:rsidRPr="000F4DED">
        <w:t>year period</w:t>
      </w:r>
      <w:r w:rsidR="0090175E">
        <w:t xml:space="preserve"> </w:t>
      </w:r>
      <w:proofErr w:type="spellStart"/>
      <w:r w:rsidR="0090175E">
        <w:t>i.e</w:t>
      </w:r>
      <w:proofErr w:type="spellEnd"/>
      <w:r w:rsidR="0090175E">
        <w:t xml:space="preserve"> a total of around £24million for the 4 year period</w:t>
      </w:r>
      <w:r w:rsidRPr="000F4DED">
        <w:t xml:space="preserve">. </w:t>
      </w:r>
      <w:r w:rsidR="0090175E">
        <w:t>Following the budget setting process and extending this for an extra year the estimated impact of COVID is around £29 million b</w:t>
      </w:r>
      <w:r w:rsidR="00C16679">
        <w:t>ased on the following:</w:t>
      </w:r>
    </w:p>
    <w:p w:rsidR="0090175E" w:rsidRDefault="0090175E" w:rsidP="0090175E">
      <w:pPr>
        <w:spacing w:after="120"/>
        <w:ind w:right="386"/>
      </w:pPr>
    </w:p>
    <w:p w:rsidR="0090175E" w:rsidRDefault="0090175E" w:rsidP="0090175E">
      <w:pPr>
        <w:spacing w:after="120"/>
        <w:ind w:left="720" w:right="386"/>
      </w:pPr>
      <w:r w:rsidRPr="0090175E">
        <w:rPr>
          <w:noProof/>
          <w:lang w:eastAsia="en-GB"/>
        </w:rPr>
        <w:drawing>
          <wp:inline distT="0" distB="0" distL="0" distR="0">
            <wp:extent cx="5058410" cy="4446905"/>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58410" cy="4446905"/>
                    </a:xfrm>
                    <a:prstGeom prst="rect">
                      <a:avLst/>
                    </a:prstGeom>
                    <a:noFill/>
                    <a:ln>
                      <a:noFill/>
                    </a:ln>
                  </pic:spPr>
                </pic:pic>
              </a:graphicData>
            </a:graphic>
          </wp:inline>
        </w:drawing>
      </w:r>
    </w:p>
    <w:p w:rsidR="00C16679" w:rsidRDefault="00C16679" w:rsidP="00C16679">
      <w:pPr>
        <w:pStyle w:val="ListParagraph"/>
        <w:spacing w:after="120"/>
        <w:ind w:left="744" w:right="386"/>
      </w:pPr>
    </w:p>
    <w:p w:rsidR="00C37005" w:rsidRPr="000F4DED" w:rsidRDefault="00C37005" w:rsidP="007E34DD">
      <w:pPr>
        <w:pStyle w:val="ListParagraph"/>
        <w:numPr>
          <w:ilvl w:val="0"/>
          <w:numId w:val="44"/>
        </w:numPr>
        <w:spacing w:after="120"/>
        <w:ind w:right="386" w:hanging="720"/>
      </w:pPr>
      <w:r w:rsidRPr="000F4DED">
        <w:t xml:space="preserve">As a result of the forecasts members </w:t>
      </w:r>
      <w:r w:rsidR="002F62E2" w:rsidRPr="000F4DED">
        <w:t>agreed</w:t>
      </w:r>
      <w:r w:rsidRPr="000F4DED">
        <w:t xml:space="preserve"> to undertake the following mitigating action in advance of re-setting its budget in December, including :</w:t>
      </w:r>
    </w:p>
    <w:p w:rsidR="00C37005" w:rsidRPr="000F4DED" w:rsidRDefault="00C37005" w:rsidP="00C37005">
      <w:pPr>
        <w:spacing w:after="120"/>
        <w:ind w:right="386" w:firstLine="24"/>
      </w:pPr>
    </w:p>
    <w:p w:rsidR="0045646F" w:rsidRPr="000F4DED" w:rsidRDefault="00C37005" w:rsidP="007E34DD">
      <w:pPr>
        <w:pStyle w:val="ListParagraph"/>
        <w:numPr>
          <w:ilvl w:val="0"/>
          <w:numId w:val="15"/>
        </w:numPr>
        <w:spacing w:after="120"/>
        <w:ind w:left="1276" w:right="386" w:hanging="567"/>
      </w:pPr>
      <w:r w:rsidRPr="000F4DED">
        <w:t xml:space="preserve">Use of reserves and balances to fund 2020-21 estimated losses </w:t>
      </w:r>
      <w:r w:rsidR="0045646F">
        <w:t>including some which generated income or were for a specific purpose</w:t>
      </w:r>
      <w:r w:rsidR="0045646F" w:rsidRPr="000F4DED">
        <w:t xml:space="preserve"> </w:t>
      </w:r>
    </w:p>
    <w:p w:rsidR="00C37005" w:rsidRPr="000F4DED" w:rsidRDefault="00C37005" w:rsidP="007E34DD">
      <w:pPr>
        <w:pStyle w:val="ListParagraph"/>
        <w:numPr>
          <w:ilvl w:val="0"/>
          <w:numId w:val="15"/>
        </w:numPr>
        <w:spacing w:after="120"/>
        <w:ind w:left="1276" w:right="386" w:hanging="567"/>
      </w:pPr>
      <w:r w:rsidRPr="000F4DED">
        <w:t>Pause all new expenditure approved in the 2020-21 budget setting process estimated at around £1million</w:t>
      </w:r>
    </w:p>
    <w:p w:rsidR="00C37005" w:rsidRPr="000F4DED" w:rsidRDefault="00C37005" w:rsidP="007E34DD">
      <w:pPr>
        <w:pStyle w:val="ListParagraph"/>
        <w:numPr>
          <w:ilvl w:val="0"/>
          <w:numId w:val="15"/>
        </w:numPr>
        <w:spacing w:after="120"/>
        <w:ind w:left="1276" w:right="386" w:hanging="567"/>
      </w:pPr>
      <w:r w:rsidRPr="000F4DED">
        <w:t xml:space="preserve">Review and stop all </w:t>
      </w:r>
      <w:r w:rsidR="002F62E2" w:rsidRPr="000F4DED">
        <w:t>non-essential</w:t>
      </w:r>
      <w:r w:rsidRPr="000F4DED">
        <w:t xml:space="preserve"> spend</w:t>
      </w:r>
    </w:p>
    <w:p w:rsidR="00C37005" w:rsidRPr="002E5017" w:rsidRDefault="00C37005" w:rsidP="007E34DD">
      <w:pPr>
        <w:pStyle w:val="ListParagraph"/>
        <w:numPr>
          <w:ilvl w:val="0"/>
          <w:numId w:val="15"/>
        </w:numPr>
        <w:spacing w:after="120"/>
        <w:ind w:left="1276" w:right="386" w:hanging="567"/>
      </w:pPr>
      <w:r w:rsidRPr="002E5017">
        <w:t xml:space="preserve">Review staffing vacancies, appointing on fixed term contracts where practical </w:t>
      </w:r>
    </w:p>
    <w:p w:rsidR="00384BE3" w:rsidRDefault="00384BE3" w:rsidP="00B80EBF">
      <w:pPr>
        <w:spacing w:after="120"/>
        <w:ind w:right="386" w:firstLine="24"/>
        <w:rPr>
          <w:b/>
          <w:highlight w:val="yellow"/>
        </w:rPr>
      </w:pPr>
    </w:p>
    <w:p w:rsidR="00731C9C" w:rsidRDefault="00731C9C" w:rsidP="002F62E2">
      <w:pPr>
        <w:spacing w:after="120"/>
        <w:ind w:right="386"/>
        <w:rPr>
          <w:b/>
        </w:rPr>
      </w:pPr>
      <w:r>
        <w:rPr>
          <w:b/>
        </w:rPr>
        <w:lastRenderedPageBreak/>
        <w:t>Key General Fund Assumptions</w:t>
      </w:r>
    </w:p>
    <w:p w:rsidR="00384BE3" w:rsidRPr="002E5017" w:rsidRDefault="000F6691" w:rsidP="002F62E2">
      <w:pPr>
        <w:spacing w:after="120"/>
        <w:ind w:right="386"/>
        <w:rPr>
          <w:b/>
        </w:rPr>
      </w:pPr>
      <w:r>
        <w:rPr>
          <w:b/>
        </w:rPr>
        <w:t xml:space="preserve">Government Funding </w:t>
      </w:r>
    </w:p>
    <w:p w:rsidR="00532432" w:rsidRPr="001A7624" w:rsidRDefault="00532432" w:rsidP="007E34DD">
      <w:pPr>
        <w:pStyle w:val="ListParagraph"/>
        <w:numPr>
          <w:ilvl w:val="0"/>
          <w:numId w:val="45"/>
        </w:numPr>
        <w:spacing w:after="120"/>
        <w:ind w:right="386" w:hanging="744"/>
      </w:pPr>
      <w:r w:rsidRPr="001A7624">
        <w:t xml:space="preserve">The Government has provided a number of funding streams to local authorities to assist with financial pressures arising from the COVID 19 pandemic. Whilst the majority of funding is </w:t>
      </w:r>
      <w:proofErr w:type="spellStart"/>
      <w:r w:rsidRPr="001A7624">
        <w:t>unringfenced</w:t>
      </w:r>
      <w:proofErr w:type="spellEnd"/>
      <w:r w:rsidRPr="001A7624">
        <w:t xml:space="preserve"> some is targeted. In total to date the authority </w:t>
      </w:r>
      <w:r w:rsidR="00DF44B5">
        <w:t xml:space="preserve">is estimated to </w:t>
      </w:r>
      <w:r w:rsidRPr="001A7624">
        <w:t>receive £</w:t>
      </w:r>
      <w:r w:rsidR="001A7624" w:rsidRPr="001A7624">
        <w:t>8.4</w:t>
      </w:r>
      <w:r w:rsidR="005948CB" w:rsidRPr="001A7624">
        <w:t xml:space="preserve"> million</w:t>
      </w:r>
      <w:r w:rsidRPr="001A7624">
        <w:t>.  A claim has been submitted for compensation in respect of</w:t>
      </w:r>
      <w:r w:rsidR="00C7208C" w:rsidRPr="001A7624">
        <w:t xml:space="preserve"> 75% of </w:t>
      </w:r>
      <w:r w:rsidRPr="001A7624">
        <w:t>lost income relating to sales, fees and charges estimated for 2020-21. Whilst the claim is subject to reco</w:t>
      </w:r>
      <w:r w:rsidR="00D93703">
        <w:t>n</w:t>
      </w:r>
      <w:r w:rsidRPr="001A7624">
        <w:t>cil</w:t>
      </w:r>
      <w:r w:rsidR="00D93703">
        <w:t>i</w:t>
      </w:r>
      <w:r w:rsidRPr="001A7624">
        <w:t>ati</w:t>
      </w:r>
      <w:r w:rsidR="00D93703">
        <w:t>o</w:t>
      </w:r>
      <w:r w:rsidRPr="001A7624">
        <w:t xml:space="preserve">n and possible external audit at year </w:t>
      </w:r>
      <w:r w:rsidR="0045646F">
        <w:t>end</w:t>
      </w:r>
      <w:r w:rsidRPr="001A7624">
        <w:t xml:space="preserve">, it is estimated that this claim could result in around £5million. </w:t>
      </w:r>
    </w:p>
    <w:p w:rsidR="00C7208C" w:rsidRPr="00EF0872" w:rsidRDefault="00C7208C" w:rsidP="00B80EBF">
      <w:pPr>
        <w:spacing w:after="120"/>
        <w:ind w:right="386" w:firstLine="24"/>
        <w:rPr>
          <w:highlight w:val="yellow"/>
        </w:rPr>
      </w:pPr>
    </w:p>
    <w:tbl>
      <w:tblPr>
        <w:tblStyle w:val="TableGrid"/>
        <w:tblW w:w="0" w:type="auto"/>
        <w:tblLook w:val="04A0" w:firstRow="1" w:lastRow="0" w:firstColumn="1" w:lastColumn="0" w:noHBand="0" w:noVBand="1"/>
      </w:tblPr>
      <w:tblGrid>
        <w:gridCol w:w="7650"/>
        <w:gridCol w:w="1966"/>
      </w:tblGrid>
      <w:tr w:rsidR="00C7208C" w:rsidRPr="005948CB" w:rsidTr="00FA3189">
        <w:tc>
          <w:tcPr>
            <w:tcW w:w="9616" w:type="dxa"/>
            <w:gridSpan w:val="2"/>
          </w:tcPr>
          <w:p w:rsidR="00C7208C" w:rsidRPr="005948CB" w:rsidRDefault="00967143" w:rsidP="002F62E2">
            <w:pPr>
              <w:spacing w:after="120"/>
              <w:ind w:right="386"/>
              <w:rPr>
                <w:b/>
              </w:rPr>
            </w:pPr>
            <w:r>
              <w:rPr>
                <w:b/>
              </w:rPr>
              <w:t>Table 5</w:t>
            </w:r>
            <w:r w:rsidR="00C7208C" w:rsidRPr="005948CB">
              <w:rPr>
                <w:b/>
              </w:rPr>
              <w:t xml:space="preserve"> : Government Financial Support</w:t>
            </w:r>
          </w:p>
        </w:tc>
      </w:tr>
      <w:tr w:rsidR="00C7208C" w:rsidRPr="005948CB" w:rsidTr="00FA3189">
        <w:tc>
          <w:tcPr>
            <w:tcW w:w="7650" w:type="dxa"/>
          </w:tcPr>
          <w:p w:rsidR="00C7208C" w:rsidRPr="005948CB" w:rsidRDefault="00C7208C" w:rsidP="00B80EBF">
            <w:pPr>
              <w:spacing w:after="120"/>
              <w:ind w:right="386"/>
            </w:pPr>
          </w:p>
        </w:tc>
        <w:tc>
          <w:tcPr>
            <w:tcW w:w="1966" w:type="dxa"/>
          </w:tcPr>
          <w:p w:rsidR="00C7208C" w:rsidRPr="002F62E2" w:rsidRDefault="00C7208C" w:rsidP="00D93703">
            <w:pPr>
              <w:spacing w:after="120"/>
              <w:ind w:right="157"/>
              <w:jc w:val="right"/>
              <w:rPr>
                <w:b/>
              </w:rPr>
            </w:pPr>
            <w:r w:rsidRPr="002F62E2">
              <w:rPr>
                <w:b/>
              </w:rPr>
              <w:t>£000’s</w:t>
            </w:r>
          </w:p>
        </w:tc>
      </w:tr>
      <w:tr w:rsidR="00C7208C" w:rsidRPr="005948CB" w:rsidTr="00FA3189">
        <w:tc>
          <w:tcPr>
            <w:tcW w:w="7650" w:type="dxa"/>
          </w:tcPr>
          <w:p w:rsidR="00C7208C" w:rsidRPr="005948CB" w:rsidRDefault="00C7208C" w:rsidP="00B80EBF">
            <w:pPr>
              <w:spacing w:after="120"/>
              <w:ind w:right="386"/>
            </w:pPr>
            <w:r w:rsidRPr="005948CB">
              <w:t>Emergency funding received to date</w:t>
            </w:r>
          </w:p>
        </w:tc>
        <w:tc>
          <w:tcPr>
            <w:tcW w:w="1966" w:type="dxa"/>
          </w:tcPr>
          <w:p w:rsidR="00C7208C" w:rsidRPr="005948CB" w:rsidRDefault="00EF0872" w:rsidP="00D93703">
            <w:pPr>
              <w:spacing w:after="120"/>
              <w:ind w:right="157"/>
              <w:jc w:val="right"/>
            </w:pPr>
            <w:r w:rsidRPr="005948CB">
              <w:t>2,465</w:t>
            </w:r>
          </w:p>
        </w:tc>
      </w:tr>
      <w:tr w:rsidR="00C7208C" w:rsidRPr="005948CB" w:rsidTr="00FA3189">
        <w:tc>
          <w:tcPr>
            <w:tcW w:w="7650" w:type="dxa"/>
          </w:tcPr>
          <w:p w:rsidR="00C7208C" w:rsidRPr="005948CB" w:rsidRDefault="00C7208C" w:rsidP="00B80EBF">
            <w:pPr>
              <w:spacing w:after="120"/>
              <w:ind w:right="386"/>
            </w:pPr>
            <w:r w:rsidRPr="005948CB">
              <w:t>Compensation for losses from sales fees and charges estimated</w:t>
            </w:r>
          </w:p>
        </w:tc>
        <w:tc>
          <w:tcPr>
            <w:tcW w:w="1966" w:type="dxa"/>
          </w:tcPr>
          <w:p w:rsidR="00C7208C" w:rsidRPr="005948CB" w:rsidRDefault="00C7208C" w:rsidP="00D93703">
            <w:pPr>
              <w:spacing w:after="120"/>
              <w:ind w:right="157"/>
              <w:jc w:val="right"/>
            </w:pPr>
            <w:r w:rsidRPr="005948CB">
              <w:t>5,000</w:t>
            </w:r>
          </w:p>
        </w:tc>
      </w:tr>
      <w:tr w:rsidR="00C7208C" w:rsidRPr="005948CB" w:rsidTr="00FA3189">
        <w:tc>
          <w:tcPr>
            <w:tcW w:w="7650" w:type="dxa"/>
          </w:tcPr>
          <w:p w:rsidR="00C7208C" w:rsidRPr="005948CB" w:rsidRDefault="00EF0872" w:rsidP="00B80EBF">
            <w:pPr>
              <w:spacing w:after="120"/>
              <w:ind w:right="386"/>
            </w:pPr>
            <w:r w:rsidRPr="005948CB">
              <w:t>Rough sleeping/ homelessness</w:t>
            </w:r>
          </w:p>
        </w:tc>
        <w:tc>
          <w:tcPr>
            <w:tcW w:w="1966" w:type="dxa"/>
          </w:tcPr>
          <w:p w:rsidR="00C7208C" w:rsidRPr="005948CB" w:rsidRDefault="00EF0872" w:rsidP="00D93703">
            <w:pPr>
              <w:spacing w:after="120"/>
              <w:ind w:right="157"/>
              <w:jc w:val="right"/>
            </w:pPr>
            <w:r w:rsidRPr="005948CB">
              <w:t>32</w:t>
            </w:r>
          </w:p>
        </w:tc>
      </w:tr>
      <w:tr w:rsidR="00C7208C" w:rsidRPr="005948CB" w:rsidTr="00FA3189">
        <w:tc>
          <w:tcPr>
            <w:tcW w:w="7650" w:type="dxa"/>
          </w:tcPr>
          <w:p w:rsidR="00C7208C" w:rsidRDefault="00E40B08" w:rsidP="00B80EBF">
            <w:pPr>
              <w:spacing w:after="120"/>
              <w:ind w:right="386"/>
            </w:pPr>
            <w:r>
              <w:t xml:space="preserve">Enforcement funding </w:t>
            </w:r>
          </w:p>
        </w:tc>
        <w:tc>
          <w:tcPr>
            <w:tcW w:w="1966" w:type="dxa"/>
          </w:tcPr>
          <w:p w:rsidR="00C7208C" w:rsidRPr="005948CB" w:rsidRDefault="00E40B08" w:rsidP="00D93703">
            <w:pPr>
              <w:spacing w:after="120"/>
              <w:ind w:right="157"/>
              <w:jc w:val="right"/>
            </w:pPr>
            <w:r w:rsidRPr="005948CB">
              <w:t>76</w:t>
            </w:r>
          </w:p>
        </w:tc>
      </w:tr>
      <w:tr w:rsidR="00C7208C" w:rsidRPr="005948CB" w:rsidTr="00FA3189">
        <w:tc>
          <w:tcPr>
            <w:tcW w:w="7650" w:type="dxa"/>
          </w:tcPr>
          <w:p w:rsidR="00C7208C" w:rsidRPr="005948CB" w:rsidRDefault="00E40B08" w:rsidP="00B80EBF">
            <w:pPr>
              <w:spacing w:after="120"/>
              <w:ind w:right="386"/>
            </w:pPr>
            <w:r w:rsidRPr="005948CB">
              <w:rPr>
                <w:sz w:val="22"/>
                <w:szCs w:val="22"/>
              </w:rPr>
              <w:t>Emergency Assistance Grant for Food and Essential Supplie</w:t>
            </w:r>
            <w:r w:rsidR="005948CB" w:rsidRPr="005948CB">
              <w:rPr>
                <w:sz w:val="22"/>
                <w:szCs w:val="22"/>
              </w:rPr>
              <w:t>s</w:t>
            </w:r>
          </w:p>
        </w:tc>
        <w:tc>
          <w:tcPr>
            <w:tcW w:w="1966" w:type="dxa"/>
          </w:tcPr>
          <w:p w:rsidR="00C7208C" w:rsidRPr="005948CB" w:rsidRDefault="00E40B08" w:rsidP="00D93703">
            <w:pPr>
              <w:spacing w:after="120"/>
              <w:ind w:right="157"/>
              <w:jc w:val="right"/>
            </w:pPr>
            <w:r w:rsidRPr="005948CB">
              <w:t>145</w:t>
            </w:r>
          </w:p>
        </w:tc>
      </w:tr>
      <w:tr w:rsidR="00C7208C" w:rsidRPr="005948CB" w:rsidTr="00FA3189">
        <w:tc>
          <w:tcPr>
            <w:tcW w:w="7650" w:type="dxa"/>
          </w:tcPr>
          <w:p w:rsidR="00C7208C" w:rsidRDefault="00E40B08" w:rsidP="00B80EBF">
            <w:pPr>
              <w:spacing w:after="120"/>
              <w:ind w:right="386"/>
            </w:pPr>
            <w:r>
              <w:t>Leisure centres</w:t>
            </w:r>
            <w:r w:rsidR="00FA3189">
              <w:t>- minimum amount expected</w:t>
            </w:r>
          </w:p>
        </w:tc>
        <w:tc>
          <w:tcPr>
            <w:tcW w:w="1966" w:type="dxa"/>
          </w:tcPr>
          <w:p w:rsidR="00C7208C" w:rsidRPr="005948CB" w:rsidRDefault="00E40B08" w:rsidP="00D93703">
            <w:pPr>
              <w:spacing w:after="120"/>
              <w:ind w:right="157"/>
              <w:jc w:val="right"/>
            </w:pPr>
            <w:r w:rsidRPr="005948CB">
              <w:t>100</w:t>
            </w:r>
          </w:p>
        </w:tc>
      </w:tr>
      <w:tr w:rsidR="00E40B08" w:rsidRPr="005948CB" w:rsidTr="00FA3189">
        <w:tc>
          <w:tcPr>
            <w:tcW w:w="7650" w:type="dxa"/>
          </w:tcPr>
          <w:p w:rsidR="00E40B08" w:rsidRDefault="00E40B08" w:rsidP="00B80EBF">
            <w:pPr>
              <w:spacing w:after="120"/>
              <w:ind w:right="386"/>
            </w:pPr>
            <w:r>
              <w:t>Re-opening streets safely fund</w:t>
            </w:r>
          </w:p>
        </w:tc>
        <w:tc>
          <w:tcPr>
            <w:tcW w:w="1966" w:type="dxa"/>
          </w:tcPr>
          <w:p w:rsidR="00E40B08" w:rsidRPr="005948CB" w:rsidRDefault="00E40B08" w:rsidP="00D93703">
            <w:pPr>
              <w:spacing w:after="120"/>
              <w:ind w:right="157"/>
              <w:jc w:val="right"/>
            </w:pPr>
            <w:r w:rsidRPr="005948CB">
              <w:t>134</w:t>
            </w:r>
          </w:p>
        </w:tc>
      </w:tr>
      <w:tr w:rsidR="005948CB" w:rsidRPr="005948CB" w:rsidTr="00FA3189">
        <w:tc>
          <w:tcPr>
            <w:tcW w:w="7650" w:type="dxa"/>
          </w:tcPr>
          <w:p w:rsidR="005948CB" w:rsidRPr="00BC431C" w:rsidRDefault="00FA3189" w:rsidP="00B80EBF">
            <w:pPr>
              <w:spacing w:after="120"/>
              <w:ind w:right="386"/>
            </w:pPr>
            <w:r w:rsidRPr="00BC431C">
              <w:t xml:space="preserve">Furlough grant </w:t>
            </w:r>
          </w:p>
        </w:tc>
        <w:tc>
          <w:tcPr>
            <w:tcW w:w="1966" w:type="dxa"/>
          </w:tcPr>
          <w:p w:rsidR="005948CB" w:rsidRPr="005948CB" w:rsidRDefault="001A7624" w:rsidP="00D93703">
            <w:pPr>
              <w:spacing w:after="120"/>
              <w:ind w:right="157"/>
              <w:jc w:val="right"/>
            </w:pPr>
            <w:r>
              <w:t>182</w:t>
            </w:r>
          </w:p>
        </w:tc>
      </w:tr>
      <w:tr w:rsidR="00FA3189" w:rsidRPr="005948CB" w:rsidTr="00FA3189">
        <w:tc>
          <w:tcPr>
            <w:tcW w:w="7650" w:type="dxa"/>
          </w:tcPr>
          <w:p w:rsidR="00FA3189" w:rsidRPr="00BC431C" w:rsidRDefault="00FA3189" w:rsidP="00B80EBF">
            <w:pPr>
              <w:spacing w:after="120"/>
              <w:ind w:right="386"/>
            </w:pPr>
            <w:r w:rsidRPr="00BC431C">
              <w:rPr>
                <w:sz w:val="22"/>
                <w:szCs w:val="22"/>
              </w:rPr>
              <w:t>Support to Clinically Extremely Vulnerable - estimated</w:t>
            </w:r>
          </w:p>
        </w:tc>
        <w:tc>
          <w:tcPr>
            <w:tcW w:w="1966" w:type="dxa"/>
          </w:tcPr>
          <w:p w:rsidR="00FA3189" w:rsidRPr="00BC431C" w:rsidRDefault="00FA3189" w:rsidP="00D93703">
            <w:pPr>
              <w:spacing w:after="120"/>
              <w:ind w:right="157"/>
              <w:jc w:val="right"/>
            </w:pPr>
            <w:r w:rsidRPr="00BC431C">
              <w:t>60</w:t>
            </w:r>
          </w:p>
        </w:tc>
      </w:tr>
      <w:tr w:rsidR="00FA3189" w:rsidRPr="005948CB" w:rsidTr="00FA3189">
        <w:tc>
          <w:tcPr>
            <w:tcW w:w="7650" w:type="dxa"/>
          </w:tcPr>
          <w:p w:rsidR="00FA3189" w:rsidRPr="00BC431C" w:rsidRDefault="00BC431C" w:rsidP="00B80EBF">
            <w:pPr>
              <w:spacing w:after="120"/>
              <w:ind w:right="386"/>
            </w:pPr>
            <w:r w:rsidRPr="00BC431C">
              <w:t>Compliance and enforcement grant</w:t>
            </w:r>
          </w:p>
        </w:tc>
        <w:tc>
          <w:tcPr>
            <w:tcW w:w="1966" w:type="dxa"/>
          </w:tcPr>
          <w:p w:rsidR="00FA3189" w:rsidRPr="00BC431C" w:rsidRDefault="00BC431C" w:rsidP="00D93703">
            <w:pPr>
              <w:spacing w:after="120"/>
              <w:ind w:right="157"/>
              <w:jc w:val="right"/>
            </w:pPr>
            <w:r w:rsidRPr="00BC431C">
              <w:t>76</w:t>
            </w:r>
          </w:p>
        </w:tc>
      </w:tr>
      <w:tr w:rsidR="00BC431C" w:rsidRPr="005948CB" w:rsidTr="00FA3189">
        <w:tc>
          <w:tcPr>
            <w:tcW w:w="7650" w:type="dxa"/>
          </w:tcPr>
          <w:p w:rsidR="00BC431C" w:rsidRPr="001A7624" w:rsidRDefault="00BC431C" w:rsidP="00B80EBF">
            <w:pPr>
              <w:spacing w:after="120"/>
              <w:ind w:right="386"/>
            </w:pPr>
            <w:r w:rsidRPr="001A7624">
              <w:t>Homelessness protect programme - estimated</w:t>
            </w:r>
          </w:p>
        </w:tc>
        <w:tc>
          <w:tcPr>
            <w:tcW w:w="1966" w:type="dxa"/>
          </w:tcPr>
          <w:p w:rsidR="00BC431C" w:rsidRPr="001A7624" w:rsidRDefault="00BC431C" w:rsidP="00D93703">
            <w:pPr>
              <w:spacing w:after="120"/>
              <w:ind w:right="157"/>
              <w:jc w:val="right"/>
            </w:pPr>
            <w:r w:rsidRPr="001A7624">
              <w:t>140</w:t>
            </w:r>
          </w:p>
        </w:tc>
      </w:tr>
      <w:tr w:rsidR="00E40B08" w:rsidRPr="005948CB" w:rsidTr="00FA3189">
        <w:tc>
          <w:tcPr>
            <w:tcW w:w="7650" w:type="dxa"/>
          </w:tcPr>
          <w:p w:rsidR="00E40B08" w:rsidRPr="001A7624" w:rsidRDefault="00E40B08" w:rsidP="00B80EBF">
            <w:pPr>
              <w:spacing w:after="120"/>
              <w:ind w:right="386"/>
              <w:rPr>
                <w:b/>
              </w:rPr>
            </w:pPr>
            <w:r w:rsidRPr="001A7624">
              <w:rPr>
                <w:b/>
              </w:rPr>
              <w:t>Total</w:t>
            </w:r>
          </w:p>
        </w:tc>
        <w:tc>
          <w:tcPr>
            <w:tcW w:w="1966" w:type="dxa"/>
          </w:tcPr>
          <w:p w:rsidR="00E40B08" w:rsidRPr="001A7624" w:rsidRDefault="00BC431C" w:rsidP="00D93703">
            <w:pPr>
              <w:spacing w:after="120"/>
              <w:ind w:right="157"/>
              <w:jc w:val="right"/>
              <w:rPr>
                <w:b/>
              </w:rPr>
            </w:pPr>
            <w:r w:rsidRPr="001A7624">
              <w:rPr>
                <w:b/>
              </w:rPr>
              <w:t>8,</w:t>
            </w:r>
            <w:r w:rsidR="001A7624" w:rsidRPr="001A7624">
              <w:rPr>
                <w:b/>
              </w:rPr>
              <w:t>410</w:t>
            </w:r>
          </w:p>
        </w:tc>
      </w:tr>
    </w:tbl>
    <w:p w:rsidR="00C7208C" w:rsidRPr="00532432" w:rsidRDefault="00C7208C" w:rsidP="00B80EBF">
      <w:pPr>
        <w:spacing w:after="120"/>
        <w:ind w:right="386" w:firstLine="24"/>
      </w:pPr>
    </w:p>
    <w:p w:rsidR="0045646F" w:rsidRPr="00532432" w:rsidRDefault="00115398" w:rsidP="007E34DD">
      <w:pPr>
        <w:pStyle w:val="ListParagraph"/>
        <w:numPr>
          <w:ilvl w:val="0"/>
          <w:numId w:val="45"/>
        </w:numPr>
        <w:spacing w:after="120"/>
        <w:ind w:right="386" w:hanging="744"/>
      </w:pPr>
      <w:r>
        <w:t>Further funding for 3 months losses of Sales Fees and Charges in 2021-22 has been announced in the recent Spending Review although the criteria for claiming such compensation is yet to be confirmed</w:t>
      </w:r>
      <w:r w:rsidR="0045646F">
        <w:t xml:space="preserve">. </w:t>
      </w:r>
    </w:p>
    <w:p w:rsidR="00E06060" w:rsidRDefault="00E06060" w:rsidP="00B80EBF">
      <w:pPr>
        <w:spacing w:after="120"/>
        <w:ind w:right="386" w:firstLine="24"/>
        <w:rPr>
          <w:b/>
        </w:rPr>
      </w:pPr>
    </w:p>
    <w:p w:rsidR="00F7377A" w:rsidRDefault="00F7377A" w:rsidP="00B80EBF">
      <w:pPr>
        <w:spacing w:after="120"/>
        <w:ind w:right="386" w:firstLine="24"/>
        <w:rPr>
          <w:b/>
        </w:rPr>
      </w:pPr>
    </w:p>
    <w:p w:rsidR="009E51EC" w:rsidRPr="002E5017" w:rsidRDefault="007B6AB3" w:rsidP="00B80EBF">
      <w:pPr>
        <w:spacing w:after="120"/>
        <w:ind w:right="386" w:firstLine="24"/>
      </w:pPr>
      <w:r w:rsidRPr="002E5017">
        <w:rPr>
          <w:b/>
        </w:rPr>
        <w:t>Retained</w:t>
      </w:r>
      <w:r w:rsidRPr="002E5017">
        <w:t xml:space="preserve"> </w:t>
      </w:r>
      <w:r w:rsidR="00B16E72" w:rsidRPr="002E5017">
        <w:rPr>
          <w:b/>
        </w:rPr>
        <w:t>Business Rates</w:t>
      </w:r>
    </w:p>
    <w:p w:rsidR="00860300" w:rsidRDefault="001E172C" w:rsidP="007E34DD">
      <w:pPr>
        <w:pStyle w:val="ListParagraph"/>
        <w:numPr>
          <w:ilvl w:val="0"/>
          <w:numId w:val="45"/>
        </w:numPr>
        <w:spacing w:after="120"/>
        <w:ind w:right="386" w:hanging="744"/>
      </w:pPr>
      <w:r w:rsidRPr="002E5017">
        <w:t xml:space="preserve">Business rates income collected by Oxford City Council as billing authority is split 50/50 with central government with the </w:t>
      </w:r>
      <w:r w:rsidR="00CA6854" w:rsidRPr="002E5017">
        <w:t xml:space="preserve">billing authority’s 50% share </w:t>
      </w:r>
      <w:r w:rsidRPr="002E5017">
        <w:t xml:space="preserve">split 80/20 between Oxford City Council and Oxfordshire County Council respectively. </w:t>
      </w:r>
      <w:r w:rsidR="009E51EC" w:rsidRPr="002E5017">
        <w:t xml:space="preserve"> </w:t>
      </w:r>
      <w:r w:rsidRPr="002E5017">
        <w:t xml:space="preserve">From </w:t>
      </w:r>
      <w:r w:rsidR="007D680C" w:rsidRPr="002E5017">
        <w:t>its</w:t>
      </w:r>
      <w:r w:rsidRPr="002E5017">
        <w:t xml:space="preserve"> 80% share the Council pays a tariff to central government and retains a baseline amount (set by the Government) together with 50% of the retained income above this baseline. </w:t>
      </w:r>
      <w:r w:rsidR="00860300" w:rsidRPr="002E5017">
        <w:t xml:space="preserve">The main components of the system </w:t>
      </w:r>
      <w:r w:rsidR="002A5B89" w:rsidRPr="002E5017">
        <w:t>with estimates of individual elements for Oxford City for 20</w:t>
      </w:r>
      <w:r w:rsidR="003C3043" w:rsidRPr="002E5017">
        <w:t>2</w:t>
      </w:r>
      <w:r w:rsidR="004A48D9" w:rsidRPr="002E5017">
        <w:t>1</w:t>
      </w:r>
      <w:r w:rsidR="002A5B89" w:rsidRPr="002E5017">
        <w:t>/</w:t>
      </w:r>
      <w:r w:rsidR="00EF163F" w:rsidRPr="002E5017">
        <w:t>202</w:t>
      </w:r>
      <w:r w:rsidR="004A48D9" w:rsidRPr="002E5017">
        <w:t>2</w:t>
      </w:r>
      <w:r w:rsidR="002A5B89" w:rsidRPr="002E5017">
        <w:t xml:space="preserve"> </w:t>
      </w:r>
      <w:r w:rsidR="002A5B89" w:rsidRPr="002E5017">
        <w:lastRenderedPageBreak/>
        <w:t xml:space="preserve">are </w:t>
      </w:r>
      <w:r w:rsidR="005B5F9E" w:rsidRPr="002E5017">
        <w:t xml:space="preserve">shown below. The overall amount of retained business rates by the authority </w:t>
      </w:r>
      <w:r w:rsidR="009D756F" w:rsidRPr="002E5017">
        <w:t>for 20</w:t>
      </w:r>
      <w:r w:rsidR="003C3043" w:rsidRPr="002E5017">
        <w:t>2</w:t>
      </w:r>
      <w:r w:rsidR="004A48D9" w:rsidRPr="002E5017">
        <w:t>1</w:t>
      </w:r>
      <w:r w:rsidR="009D756F" w:rsidRPr="002E5017">
        <w:t>-2</w:t>
      </w:r>
      <w:r w:rsidR="004A48D9" w:rsidRPr="002E5017">
        <w:t>2</w:t>
      </w:r>
      <w:r w:rsidR="009D756F" w:rsidRPr="002E5017">
        <w:t xml:space="preserve"> represents around 8.</w:t>
      </w:r>
      <w:r w:rsidR="005E4B79" w:rsidRPr="002E5017">
        <w:t>4</w:t>
      </w:r>
      <w:r w:rsidR="009D756F" w:rsidRPr="002E5017">
        <w:t>% of total business rates income.</w:t>
      </w:r>
    </w:p>
    <w:p w:rsidR="0076085F" w:rsidRDefault="0076085F" w:rsidP="0041193C">
      <w:pPr>
        <w:pStyle w:val="ListParagraph"/>
        <w:spacing w:after="120"/>
        <w:ind w:right="386"/>
        <w:jc w:val="both"/>
      </w:pPr>
    </w:p>
    <w:p w:rsidR="00797178" w:rsidRPr="002E5017" w:rsidRDefault="00797178" w:rsidP="0041193C">
      <w:pPr>
        <w:pStyle w:val="ListParagraph"/>
        <w:spacing w:after="120"/>
        <w:ind w:right="386"/>
        <w:jc w:val="both"/>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2268"/>
      </w:tblGrid>
      <w:tr w:rsidR="00096BAD" w:rsidRPr="002E5017" w:rsidTr="00A541EB">
        <w:tc>
          <w:tcPr>
            <w:tcW w:w="8364" w:type="dxa"/>
            <w:gridSpan w:val="2"/>
            <w:shd w:val="clear" w:color="auto" w:fill="BFBFBF"/>
          </w:tcPr>
          <w:p w:rsidR="00096BAD" w:rsidRPr="002E5017" w:rsidRDefault="00096BAD" w:rsidP="000A5D75">
            <w:pPr>
              <w:spacing w:after="120"/>
              <w:ind w:right="386"/>
              <w:rPr>
                <w:b/>
              </w:rPr>
            </w:pPr>
            <w:r w:rsidRPr="002E5017">
              <w:rPr>
                <w:b/>
              </w:rPr>
              <w:t xml:space="preserve">Table </w:t>
            </w:r>
            <w:r w:rsidR="00967143">
              <w:rPr>
                <w:b/>
              </w:rPr>
              <w:t>6</w:t>
            </w:r>
            <w:r w:rsidRPr="002E5017">
              <w:rPr>
                <w:b/>
              </w:rPr>
              <w:t xml:space="preserve"> : Retained Business Rates 20</w:t>
            </w:r>
            <w:r w:rsidR="003C3043" w:rsidRPr="002E5017">
              <w:rPr>
                <w:b/>
              </w:rPr>
              <w:t>2</w:t>
            </w:r>
            <w:r w:rsidR="000A5D75" w:rsidRPr="002E5017">
              <w:rPr>
                <w:b/>
              </w:rPr>
              <w:t>1</w:t>
            </w:r>
            <w:r w:rsidRPr="002E5017">
              <w:rPr>
                <w:b/>
              </w:rPr>
              <w:t>-</w:t>
            </w:r>
            <w:r w:rsidR="00EF163F" w:rsidRPr="002E5017">
              <w:rPr>
                <w:b/>
              </w:rPr>
              <w:t>2</w:t>
            </w:r>
            <w:r w:rsidR="000A5D75" w:rsidRPr="002E5017">
              <w:rPr>
                <w:b/>
              </w:rPr>
              <w:t>2</w:t>
            </w:r>
          </w:p>
        </w:tc>
      </w:tr>
      <w:tr w:rsidR="00096BAD" w:rsidRPr="002E5017" w:rsidTr="00A541EB">
        <w:tc>
          <w:tcPr>
            <w:tcW w:w="6096" w:type="dxa"/>
            <w:shd w:val="clear" w:color="auto" w:fill="BFBFBF"/>
          </w:tcPr>
          <w:p w:rsidR="00096BAD" w:rsidRPr="002E5017" w:rsidRDefault="00096BAD" w:rsidP="005823A7">
            <w:pPr>
              <w:spacing w:after="120"/>
              <w:ind w:right="386"/>
              <w:jc w:val="both"/>
            </w:pPr>
          </w:p>
        </w:tc>
        <w:tc>
          <w:tcPr>
            <w:tcW w:w="2268" w:type="dxa"/>
            <w:shd w:val="clear" w:color="auto" w:fill="BFBFBF"/>
          </w:tcPr>
          <w:p w:rsidR="00096BAD" w:rsidRPr="002E5017" w:rsidRDefault="00096BAD" w:rsidP="00882E86">
            <w:pPr>
              <w:spacing w:after="120"/>
              <w:jc w:val="right"/>
              <w:rPr>
                <w:b/>
              </w:rPr>
            </w:pPr>
            <w:r w:rsidRPr="002E5017">
              <w:rPr>
                <w:b/>
              </w:rPr>
              <w:t>£million</w:t>
            </w:r>
          </w:p>
        </w:tc>
      </w:tr>
      <w:tr w:rsidR="00096BAD" w:rsidRPr="002E5017" w:rsidTr="00A541EB">
        <w:tc>
          <w:tcPr>
            <w:tcW w:w="6096" w:type="dxa"/>
            <w:shd w:val="clear" w:color="auto" w:fill="auto"/>
          </w:tcPr>
          <w:p w:rsidR="00096BAD" w:rsidRPr="002E5017" w:rsidRDefault="00096BAD" w:rsidP="005823A7">
            <w:pPr>
              <w:tabs>
                <w:tab w:val="left" w:pos="0"/>
              </w:tabs>
              <w:spacing w:after="120"/>
              <w:ind w:left="34" w:right="386"/>
            </w:pPr>
            <w:r w:rsidRPr="002E5017">
              <w:t>Estimated Business Rates Income</w:t>
            </w:r>
          </w:p>
        </w:tc>
        <w:tc>
          <w:tcPr>
            <w:tcW w:w="2268" w:type="dxa"/>
            <w:shd w:val="clear" w:color="auto" w:fill="auto"/>
          </w:tcPr>
          <w:p w:rsidR="00096BAD" w:rsidRPr="002E5017" w:rsidRDefault="00BE4A4D" w:rsidP="00882E86">
            <w:pPr>
              <w:spacing w:after="120"/>
              <w:ind w:right="5"/>
              <w:jc w:val="right"/>
            </w:pPr>
            <w:r w:rsidRPr="002E5017">
              <w:t>10</w:t>
            </w:r>
            <w:r w:rsidR="000A5D75" w:rsidRPr="002E5017">
              <w:t>9</w:t>
            </w:r>
            <w:r w:rsidRPr="002E5017">
              <w:t>.</w:t>
            </w:r>
            <w:r w:rsidR="000A5D75" w:rsidRPr="002E5017">
              <w:t>809</w:t>
            </w:r>
          </w:p>
        </w:tc>
      </w:tr>
      <w:tr w:rsidR="00096BAD" w:rsidRPr="002E5017" w:rsidTr="00A541EB">
        <w:tc>
          <w:tcPr>
            <w:tcW w:w="6096" w:type="dxa"/>
            <w:shd w:val="clear" w:color="auto" w:fill="auto"/>
          </w:tcPr>
          <w:p w:rsidR="00096BAD" w:rsidRPr="002E5017" w:rsidRDefault="00096BAD" w:rsidP="005823A7">
            <w:pPr>
              <w:spacing w:after="120"/>
              <w:ind w:right="386"/>
            </w:pPr>
            <w:r w:rsidRPr="002E5017">
              <w:t>Billing Authority Share (50%)</w:t>
            </w:r>
          </w:p>
        </w:tc>
        <w:tc>
          <w:tcPr>
            <w:tcW w:w="2268" w:type="dxa"/>
            <w:shd w:val="clear" w:color="auto" w:fill="auto"/>
          </w:tcPr>
          <w:p w:rsidR="00096BAD" w:rsidRPr="002E5017" w:rsidRDefault="00BE4A4D" w:rsidP="00882E86">
            <w:pPr>
              <w:spacing w:after="120"/>
              <w:ind w:right="5"/>
              <w:jc w:val="right"/>
            </w:pPr>
            <w:r w:rsidRPr="002E5017">
              <w:t>5</w:t>
            </w:r>
            <w:r w:rsidR="000A5D75" w:rsidRPr="002E5017">
              <w:t>4</w:t>
            </w:r>
            <w:r w:rsidR="004C288D" w:rsidRPr="002E5017">
              <w:t>.</w:t>
            </w:r>
            <w:r w:rsidR="000A5D75" w:rsidRPr="002E5017">
              <w:t>905</w:t>
            </w:r>
          </w:p>
        </w:tc>
      </w:tr>
      <w:tr w:rsidR="00096BAD" w:rsidRPr="002E5017" w:rsidTr="00A541EB">
        <w:tc>
          <w:tcPr>
            <w:tcW w:w="6096" w:type="dxa"/>
            <w:shd w:val="clear" w:color="auto" w:fill="auto"/>
          </w:tcPr>
          <w:p w:rsidR="00096BAD" w:rsidRPr="002E5017" w:rsidRDefault="00096BAD" w:rsidP="002E3E05">
            <w:pPr>
              <w:spacing w:after="120"/>
              <w:ind w:right="386"/>
            </w:pPr>
            <w:r w:rsidRPr="002E5017">
              <w:t>Oxford City Share (80%)</w:t>
            </w:r>
            <w:r w:rsidRPr="002E5017">
              <w:tab/>
            </w:r>
          </w:p>
        </w:tc>
        <w:tc>
          <w:tcPr>
            <w:tcW w:w="2268" w:type="dxa"/>
            <w:shd w:val="clear" w:color="auto" w:fill="auto"/>
          </w:tcPr>
          <w:p w:rsidR="00096BAD" w:rsidRPr="002E5017" w:rsidRDefault="00BE4A4D" w:rsidP="00882E86">
            <w:pPr>
              <w:spacing w:after="120"/>
              <w:ind w:right="5"/>
              <w:jc w:val="right"/>
            </w:pPr>
            <w:r w:rsidRPr="002E5017">
              <w:t>4</w:t>
            </w:r>
            <w:r w:rsidR="000A5D75" w:rsidRPr="002E5017">
              <w:t>3</w:t>
            </w:r>
            <w:r w:rsidR="004C288D" w:rsidRPr="002E5017">
              <w:t>.</w:t>
            </w:r>
            <w:r w:rsidR="00475F5B" w:rsidRPr="002E5017">
              <w:t>923</w:t>
            </w:r>
          </w:p>
        </w:tc>
      </w:tr>
      <w:tr w:rsidR="00096BAD" w:rsidRPr="002E5017" w:rsidTr="00A541EB">
        <w:tc>
          <w:tcPr>
            <w:tcW w:w="6096" w:type="dxa"/>
            <w:shd w:val="clear" w:color="auto" w:fill="auto"/>
          </w:tcPr>
          <w:p w:rsidR="00096BAD" w:rsidRPr="002E5017" w:rsidRDefault="00096BAD" w:rsidP="005823A7">
            <w:pPr>
              <w:spacing w:after="120"/>
              <w:ind w:right="386"/>
            </w:pPr>
            <w:r w:rsidRPr="002E5017">
              <w:t>Less Tariff paid to Government</w:t>
            </w:r>
          </w:p>
        </w:tc>
        <w:tc>
          <w:tcPr>
            <w:tcW w:w="2268" w:type="dxa"/>
            <w:shd w:val="clear" w:color="auto" w:fill="auto"/>
          </w:tcPr>
          <w:p w:rsidR="00096BAD" w:rsidRPr="002E5017" w:rsidRDefault="005E4B79" w:rsidP="00882E86">
            <w:pPr>
              <w:spacing w:after="120"/>
              <w:ind w:right="5"/>
              <w:jc w:val="right"/>
            </w:pPr>
            <w:r w:rsidRPr="002E5017">
              <w:t>30.</w:t>
            </w:r>
            <w:r w:rsidR="00475F5B" w:rsidRPr="002E5017">
              <w:t>893</w:t>
            </w:r>
          </w:p>
        </w:tc>
      </w:tr>
      <w:tr w:rsidR="00096BAD" w:rsidRPr="002E5017" w:rsidTr="00A541EB">
        <w:tc>
          <w:tcPr>
            <w:tcW w:w="6096" w:type="dxa"/>
            <w:shd w:val="clear" w:color="auto" w:fill="BFBFBF"/>
          </w:tcPr>
          <w:p w:rsidR="00096BAD" w:rsidRPr="002E5017" w:rsidRDefault="00096BAD" w:rsidP="005823A7">
            <w:pPr>
              <w:spacing w:after="120"/>
              <w:ind w:right="386"/>
              <w:rPr>
                <w:b/>
              </w:rPr>
            </w:pPr>
            <w:r w:rsidRPr="002E5017">
              <w:rPr>
                <w:b/>
              </w:rPr>
              <w:t>Amount remaining after tariff</w:t>
            </w:r>
            <w:r w:rsidR="00A541EB" w:rsidRPr="002E5017">
              <w:rPr>
                <w:b/>
              </w:rPr>
              <w:t xml:space="preserve"> </w:t>
            </w:r>
            <w:r w:rsidR="002E5017" w:rsidRPr="002E5017">
              <w:rPr>
                <w:b/>
              </w:rPr>
              <w:t>(A)</w:t>
            </w:r>
          </w:p>
        </w:tc>
        <w:tc>
          <w:tcPr>
            <w:tcW w:w="2268" w:type="dxa"/>
            <w:shd w:val="clear" w:color="auto" w:fill="BFBFBF"/>
          </w:tcPr>
          <w:p w:rsidR="00096BAD" w:rsidRPr="002E5017" w:rsidRDefault="00BE4A4D" w:rsidP="00882E86">
            <w:pPr>
              <w:spacing w:after="120"/>
              <w:ind w:right="5"/>
              <w:jc w:val="right"/>
              <w:rPr>
                <w:b/>
              </w:rPr>
            </w:pPr>
            <w:r w:rsidRPr="002E5017">
              <w:rPr>
                <w:b/>
              </w:rPr>
              <w:t>1</w:t>
            </w:r>
            <w:r w:rsidR="00475F5B" w:rsidRPr="002E5017">
              <w:rPr>
                <w:b/>
              </w:rPr>
              <w:t>3</w:t>
            </w:r>
            <w:r w:rsidRPr="002E5017">
              <w:rPr>
                <w:b/>
              </w:rPr>
              <w:t>.</w:t>
            </w:r>
            <w:r w:rsidR="00475F5B" w:rsidRPr="002E5017">
              <w:rPr>
                <w:b/>
              </w:rPr>
              <w:t>030</w:t>
            </w:r>
          </w:p>
        </w:tc>
      </w:tr>
      <w:tr w:rsidR="00096BAD" w:rsidRPr="002E5017" w:rsidTr="00A541EB">
        <w:tc>
          <w:tcPr>
            <w:tcW w:w="6096" w:type="dxa"/>
            <w:shd w:val="clear" w:color="auto" w:fill="auto"/>
          </w:tcPr>
          <w:p w:rsidR="00096BAD" w:rsidRPr="002E5017" w:rsidRDefault="00096BAD" w:rsidP="005823A7">
            <w:pPr>
              <w:spacing w:after="120"/>
              <w:ind w:right="386"/>
            </w:pPr>
            <w:r w:rsidRPr="002E5017">
              <w:t>Baseline Business Rates</w:t>
            </w:r>
            <w:r w:rsidR="00A541EB" w:rsidRPr="002E5017">
              <w:t xml:space="preserve"> </w:t>
            </w:r>
          </w:p>
        </w:tc>
        <w:tc>
          <w:tcPr>
            <w:tcW w:w="2268" w:type="dxa"/>
            <w:shd w:val="clear" w:color="auto" w:fill="auto"/>
          </w:tcPr>
          <w:p w:rsidR="00096BAD" w:rsidRPr="002E5017" w:rsidRDefault="00BE4A4D" w:rsidP="00882E86">
            <w:pPr>
              <w:spacing w:after="120"/>
              <w:ind w:right="5"/>
              <w:jc w:val="right"/>
            </w:pPr>
            <w:r w:rsidRPr="002E5017">
              <w:t>6</w:t>
            </w:r>
            <w:r w:rsidR="004C288D" w:rsidRPr="002E5017">
              <w:t>.</w:t>
            </w:r>
            <w:r w:rsidR="00475F5B" w:rsidRPr="002E5017">
              <w:t>362</w:t>
            </w:r>
          </w:p>
        </w:tc>
      </w:tr>
      <w:tr w:rsidR="00096BAD" w:rsidRPr="002E5017" w:rsidTr="00A541EB">
        <w:tc>
          <w:tcPr>
            <w:tcW w:w="6096" w:type="dxa"/>
            <w:shd w:val="clear" w:color="auto" w:fill="auto"/>
          </w:tcPr>
          <w:p w:rsidR="00096BAD" w:rsidRPr="002E5017" w:rsidRDefault="00096BAD" w:rsidP="00475F5B">
            <w:pPr>
              <w:spacing w:after="120"/>
              <w:ind w:right="386"/>
            </w:pPr>
            <w:r w:rsidRPr="002E5017">
              <w:t>Income above baseline (</w:t>
            </w:r>
            <w:r w:rsidR="00BE4A4D" w:rsidRPr="002E5017">
              <w:t>1</w:t>
            </w:r>
            <w:r w:rsidR="00475F5B" w:rsidRPr="002E5017">
              <w:t>3</w:t>
            </w:r>
            <w:r w:rsidR="004C288D" w:rsidRPr="002E5017">
              <w:t>.</w:t>
            </w:r>
            <w:r w:rsidR="00475F5B" w:rsidRPr="002E5017">
              <w:t>030</w:t>
            </w:r>
            <w:r w:rsidR="004C288D" w:rsidRPr="002E5017">
              <w:t>-</w:t>
            </w:r>
            <w:r w:rsidR="00BE4A4D" w:rsidRPr="002E5017">
              <w:t>6.</w:t>
            </w:r>
            <w:r w:rsidR="00475F5B" w:rsidRPr="002E5017">
              <w:t>362</w:t>
            </w:r>
            <w:r w:rsidRPr="002E5017">
              <w:t>)</w:t>
            </w:r>
          </w:p>
        </w:tc>
        <w:tc>
          <w:tcPr>
            <w:tcW w:w="2268" w:type="dxa"/>
            <w:shd w:val="clear" w:color="auto" w:fill="auto"/>
          </w:tcPr>
          <w:p w:rsidR="00096BAD" w:rsidRPr="002E5017" w:rsidRDefault="00475F5B" w:rsidP="00882E86">
            <w:pPr>
              <w:spacing w:after="120"/>
              <w:ind w:right="5"/>
              <w:jc w:val="right"/>
            </w:pPr>
            <w:r w:rsidRPr="002E5017">
              <w:t>6</w:t>
            </w:r>
            <w:r w:rsidR="00BE4A4D" w:rsidRPr="002E5017">
              <w:t>.</w:t>
            </w:r>
            <w:r w:rsidRPr="002E5017">
              <w:t>668</w:t>
            </w:r>
          </w:p>
        </w:tc>
      </w:tr>
      <w:tr w:rsidR="00096BAD" w:rsidRPr="002E5017" w:rsidTr="00A541EB">
        <w:tc>
          <w:tcPr>
            <w:tcW w:w="6096" w:type="dxa"/>
            <w:shd w:val="clear" w:color="auto" w:fill="auto"/>
          </w:tcPr>
          <w:p w:rsidR="00096BAD" w:rsidRPr="002E5017" w:rsidRDefault="002E5017" w:rsidP="005823A7">
            <w:pPr>
              <w:spacing w:after="120"/>
              <w:ind w:right="386"/>
            </w:pPr>
            <w:r w:rsidRPr="002E5017">
              <w:t>Levy -</w:t>
            </w:r>
            <w:r w:rsidR="00096BAD" w:rsidRPr="002E5017">
              <w:t>50% of income above baseline</w:t>
            </w:r>
            <w:r w:rsidR="00A541EB" w:rsidRPr="002E5017">
              <w:t xml:space="preserve"> </w:t>
            </w:r>
            <w:r w:rsidR="00A541EB" w:rsidRPr="002E5017">
              <w:rPr>
                <w:b/>
              </w:rPr>
              <w:t>(B)</w:t>
            </w:r>
          </w:p>
        </w:tc>
        <w:tc>
          <w:tcPr>
            <w:tcW w:w="2268" w:type="dxa"/>
            <w:shd w:val="clear" w:color="auto" w:fill="auto"/>
          </w:tcPr>
          <w:p w:rsidR="00096BAD" w:rsidRPr="002E5017" w:rsidRDefault="002E5017" w:rsidP="00882E86">
            <w:pPr>
              <w:spacing w:after="120"/>
              <w:ind w:right="5"/>
              <w:jc w:val="right"/>
            </w:pPr>
            <w:r w:rsidRPr="002E5017">
              <w:t>(</w:t>
            </w:r>
            <w:r w:rsidR="00475F5B" w:rsidRPr="002E5017">
              <w:t>3</w:t>
            </w:r>
            <w:r w:rsidR="00BE4A4D" w:rsidRPr="002E5017">
              <w:t>.</w:t>
            </w:r>
            <w:r w:rsidR="00475F5B" w:rsidRPr="002E5017">
              <w:t>334</w:t>
            </w:r>
            <w:r w:rsidRPr="002E5017">
              <w:t>)</w:t>
            </w:r>
          </w:p>
        </w:tc>
      </w:tr>
      <w:tr w:rsidR="004C288D" w:rsidRPr="002E5017" w:rsidTr="00A541EB">
        <w:tc>
          <w:tcPr>
            <w:tcW w:w="6096" w:type="dxa"/>
            <w:shd w:val="clear" w:color="auto" w:fill="auto"/>
          </w:tcPr>
          <w:p w:rsidR="004C288D" w:rsidRPr="002E5017" w:rsidRDefault="004C288D" w:rsidP="005823A7">
            <w:pPr>
              <w:spacing w:after="120"/>
              <w:ind w:right="386"/>
            </w:pPr>
            <w:r w:rsidRPr="002E5017">
              <w:t>S31 Grant adjustment</w:t>
            </w:r>
            <w:r w:rsidR="00A541EB" w:rsidRPr="002E5017">
              <w:t xml:space="preserve"> </w:t>
            </w:r>
            <w:r w:rsidR="00A541EB" w:rsidRPr="002E5017">
              <w:rPr>
                <w:b/>
              </w:rPr>
              <w:t>(C)</w:t>
            </w:r>
          </w:p>
        </w:tc>
        <w:tc>
          <w:tcPr>
            <w:tcW w:w="2268" w:type="dxa"/>
            <w:shd w:val="clear" w:color="auto" w:fill="auto"/>
          </w:tcPr>
          <w:p w:rsidR="004C288D" w:rsidRPr="002E5017" w:rsidRDefault="004C288D" w:rsidP="00882E86">
            <w:pPr>
              <w:spacing w:after="120"/>
              <w:ind w:right="5"/>
              <w:jc w:val="right"/>
            </w:pPr>
            <w:r w:rsidRPr="002E5017">
              <w:t>(</w:t>
            </w:r>
            <w:r w:rsidR="002E5017" w:rsidRPr="002E5017">
              <w:t>1</w:t>
            </w:r>
            <w:r w:rsidRPr="002E5017">
              <w:t>.</w:t>
            </w:r>
            <w:r w:rsidR="002E5017" w:rsidRPr="002E5017">
              <w:t>468</w:t>
            </w:r>
            <w:r w:rsidRPr="002E5017">
              <w:t>)</w:t>
            </w:r>
          </w:p>
        </w:tc>
      </w:tr>
      <w:tr w:rsidR="00096BAD" w:rsidRPr="002E5017" w:rsidTr="00A541EB">
        <w:tc>
          <w:tcPr>
            <w:tcW w:w="6096" w:type="dxa"/>
            <w:shd w:val="clear" w:color="auto" w:fill="BFBFBF"/>
          </w:tcPr>
          <w:p w:rsidR="00096BAD" w:rsidRPr="002E5017" w:rsidRDefault="00096BAD" w:rsidP="005823A7">
            <w:pPr>
              <w:spacing w:after="120"/>
              <w:ind w:right="386"/>
              <w:rPr>
                <w:b/>
              </w:rPr>
            </w:pPr>
            <w:r w:rsidRPr="002E5017">
              <w:rPr>
                <w:b/>
              </w:rPr>
              <w:t>Total retained business rate income</w:t>
            </w:r>
            <w:r w:rsidR="00A541EB" w:rsidRPr="002E5017">
              <w:rPr>
                <w:b/>
              </w:rPr>
              <w:t xml:space="preserve"> (A+B+C)</w:t>
            </w:r>
          </w:p>
        </w:tc>
        <w:tc>
          <w:tcPr>
            <w:tcW w:w="2268" w:type="dxa"/>
            <w:shd w:val="clear" w:color="auto" w:fill="BFBFBF"/>
          </w:tcPr>
          <w:p w:rsidR="00096BAD" w:rsidRPr="002E5017" w:rsidRDefault="005E4B79" w:rsidP="00882E86">
            <w:pPr>
              <w:spacing w:after="120"/>
              <w:ind w:right="5"/>
              <w:jc w:val="right"/>
              <w:rPr>
                <w:b/>
              </w:rPr>
            </w:pPr>
            <w:r w:rsidRPr="002E5017">
              <w:rPr>
                <w:b/>
              </w:rPr>
              <w:t>8.</w:t>
            </w:r>
            <w:r w:rsidR="00475F5B" w:rsidRPr="002E5017">
              <w:rPr>
                <w:b/>
              </w:rPr>
              <w:t>228</w:t>
            </w:r>
          </w:p>
        </w:tc>
      </w:tr>
    </w:tbl>
    <w:p w:rsidR="002E3E05" w:rsidRPr="002E5017" w:rsidRDefault="002E3E05" w:rsidP="00F74748">
      <w:pPr>
        <w:spacing w:after="120"/>
        <w:ind w:left="1440" w:right="386" w:hanging="720"/>
        <w:jc w:val="both"/>
        <w:rPr>
          <w:b/>
        </w:rPr>
      </w:pPr>
    </w:p>
    <w:p w:rsidR="002A0774" w:rsidRPr="004042B2" w:rsidRDefault="00B8025B" w:rsidP="004042B2">
      <w:pPr>
        <w:spacing w:after="120"/>
        <w:ind w:left="360" w:right="386" w:firstLine="207"/>
        <w:jc w:val="both"/>
        <w:rPr>
          <w:b/>
        </w:rPr>
      </w:pPr>
      <w:r w:rsidRPr="004042B2">
        <w:rPr>
          <w:b/>
        </w:rPr>
        <w:t>Note</w:t>
      </w:r>
      <w:r w:rsidR="00F01CC2" w:rsidRPr="004042B2">
        <w:rPr>
          <w:b/>
        </w:rPr>
        <w:t>s</w:t>
      </w:r>
    </w:p>
    <w:p w:rsidR="002A0774" w:rsidRPr="002E5017" w:rsidRDefault="004042B2" w:rsidP="004042B2">
      <w:pPr>
        <w:spacing w:after="120"/>
        <w:ind w:left="1276" w:right="386" w:hanging="709"/>
        <w:jc w:val="both"/>
        <w:rPr>
          <w:b/>
        </w:rPr>
      </w:pPr>
      <w:r>
        <w:rPr>
          <w:b/>
        </w:rPr>
        <w:tab/>
      </w:r>
      <w:r w:rsidR="002A0774" w:rsidRPr="002E5017">
        <w:rPr>
          <w:b/>
        </w:rPr>
        <w:t>Baseline</w:t>
      </w:r>
      <w:r w:rsidR="002E3E05" w:rsidRPr="002E5017">
        <w:rPr>
          <w:b/>
        </w:rPr>
        <w:t xml:space="preserve"> Business Rates</w:t>
      </w:r>
      <w:r w:rsidR="002A0774" w:rsidRPr="002E5017">
        <w:rPr>
          <w:b/>
        </w:rPr>
        <w:t xml:space="preserve"> – </w:t>
      </w:r>
      <w:r w:rsidR="002A0774" w:rsidRPr="002E5017">
        <w:t xml:space="preserve">The </w:t>
      </w:r>
      <w:r w:rsidR="003E46E1" w:rsidRPr="002E5017">
        <w:t>G</w:t>
      </w:r>
      <w:r w:rsidR="002A0774" w:rsidRPr="002E5017">
        <w:t>overnment</w:t>
      </w:r>
      <w:r w:rsidR="002E3E05" w:rsidRPr="002E5017">
        <w:t>’</w:t>
      </w:r>
      <w:r w:rsidR="002A0774" w:rsidRPr="002E5017">
        <w:t>s view of a fair starting point of business rates income for the billing authority based on formula grant distribution. Updated by RPI each year</w:t>
      </w:r>
      <w:r w:rsidR="00B8025B" w:rsidRPr="002E5017">
        <w:t>.</w:t>
      </w:r>
      <w:r w:rsidR="002A0774" w:rsidRPr="002E5017">
        <w:t xml:space="preserve"> </w:t>
      </w:r>
    </w:p>
    <w:p w:rsidR="002A0774" w:rsidRPr="002E5017" w:rsidRDefault="002A0774" w:rsidP="004042B2">
      <w:pPr>
        <w:spacing w:after="120"/>
        <w:ind w:left="1276" w:right="386"/>
        <w:jc w:val="both"/>
        <w:rPr>
          <w:b/>
        </w:rPr>
      </w:pPr>
      <w:r w:rsidRPr="002E5017">
        <w:rPr>
          <w:b/>
        </w:rPr>
        <w:t xml:space="preserve">Tariff – </w:t>
      </w:r>
      <w:r w:rsidR="00672354" w:rsidRPr="002E5017">
        <w:t>The amount paid to the G</w:t>
      </w:r>
      <w:r w:rsidRPr="002E5017">
        <w:t xml:space="preserve">overnment each year by the </w:t>
      </w:r>
      <w:r w:rsidR="00A255DE" w:rsidRPr="002E5017">
        <w:t xml:space="preserve">Council as </w:t>
      </w:r>
      <w:r w:rsidRPr="002E5017">
        <w:t xml:space="preserve">billing authority. Updated by </w:t>
      </w:r>
      <w:r w:rsidR="003E46E1" w:rsidRPr="002E5017">
        <w:t>the retail prices index (</w:t>
      </w:r>
      <w:r w:rsidRPr="002E5017">
        <w:t>RPI</w:t>
      </w:r>
      <w:r w:rsidR="003E46E1" w:rsidRPr="002E5017">
        <w:t>)</w:t>
      </w:r>
      <w:r w:rsidRPr="002E5017">
        <w:t xml:space="preserve"> each year.</w:t>
      </w:r>
    </w:p>
    <w:p w:rsidR="00CA6854" w:rsidRDefault="00CA6854" w:rsidP="004042B2">
      <w:pPr>
        <w:spacing w:after="120"/>
        <w:ind w:left="1276" w:right="386"/>
        <w:jc w:val="both"/>
      </w:pPr>
      <w:r w:rsidRPr="002E5017">
        <w:rPr>
          <w:b/>
        </w:rPr>
        <w:t xml:space="preserve">Section 31 </w:t>
      </w:r>
      <w:r w:rsidR="004042B2">
        <w:rPr>
          <w:b/>
        </w:rPr>
        <w:t>grant</w:t>
      </w:r>
      <w:r w:rsidRPr="002E5017">
        <w:rPr>
          <w:b/>
        </w:rPr>
        <w:t xml:space="preserve">– </w:t>
      </w:r>
      <w:r w:rsidRPr="002E5017">
        <w:t>The Government</w:t>
      </w:r>
      <w:r w:rsidR="00672354" w:rsidRPr="002E5017">
        <w:t>’</w:t>
      </w:r>
      <w:r w:rsidRPr="002E5017">
        <w:t xml:space="preserve">s discretionary grant paying power under the </w:t>
      </w:r>
      <w:r w:rsidRPr="00E1305D">
        <w:t xml:space="preserve">Local Government Act 2003 </w:t>
      </w:r>
    </w:p>
    <w:p w:rsidR="009D756F" w:rsidRPr="00E1305D" w:rsidRDefault="009D756F" w:rsidP="00942056">
      <w:pPr>
        <w:spacing w:after="120"/>
        <w:ind w:left="567" w:right="386" w:hanging="567"/>
        <w:jc w:val="both"/>
      </w:pPr>
    </w:p>
    <w:p w:rsidR="00E75A6A" w:rsidRDefault="001005F5" w:rsidP="007E34DD">
      <w:pPr>
        <w:pStyle w:val="ListParagraph"/>
        <w:numPr>
          <w:ilvl w:val="0"/>
          <w:numId w:val="45"/>
        </w:numPr>
        <w:spacing w:after="120"/>
        <w:ind w:right="386" w:hanging="744"/>
      </w:pPr>
      <w:r w:rsidRPr="00E1305D">
        <w:t>T</w:t>
      </w:r>
      <w:r w:rsidR="004B29D7" w:rsidRPr="00E1305D">
        <w:t xml:space="preserve">he Medium Term Financial </w:t>
      </w:r>
      <w:r w:rsidR="000C0D51" w:rsidRPr="00E1305D">
        <w:t xml:space="preserve">Strategy </w:t>
      </w:r>
      <w:r w:rsidR="005E4B79" w:rsidRPr="00E1305D">
        <w:t>makes some allowance for the changes to be introduced by the Government from 2021-22 in respect of the business rates reset and fair</w:t>
      </w:r>
      <w:r w:rsidR="00672354" w:rsidRPr="00E1305D">
        <w:t>er</w:t>
      </w:r>
      <w:r w:rsidR="005E4B79" w:rsidRPr="00E1305D">
        <w:t xml:space="preserve"> funding offset by any transitional grant. In reality how these changes will be introduced and the implications for the Council are unknown and the </w:t>
      </w:r>
      <w:r w:rsidR="000C2E11" w:rsidRPr="00E1305D">
        <w:t>estimates therefore are a best guess</w:t>
      </w:r>
      <w:r w:rsidR="004B29D7" w:rsidRPr="00E1305D">
        <w:t xml:space="preserve">. </w:t>
      </w:r>
      <w:r w:rsidR="005E0271" w:rsidRPr="00E1305D">
        <w:t xml:space="preserve">Projected retained </w:t>
      </w:r>
      <w:r w:rsidR="00AA26C9" w:rsidRPr="00E1305D">
        <w:t>Business Rates income</w:t>
      </w:r>
      <w:r w:rsidR="00633B35" w:rsidRPr="00E1305D">
        <w:t xml:space="preserve"> is shown in </w:t>
      </w:r>
      <w:r w:rsidR="0002042E" w:rsidRPr="00E1305D">
        <w:t>the T</w:t>
      </w:r>
      <w:r w:rsidR="007F7552" w:rsidRPr="00E1305D">
        <w:t xml:space="preserve">able </w:t>
      </w:r>
      <w:r w:rsidR="00967143">
        <w:t>7</w:t>
      </w:r>
      <w:r w:rsidR="0002042E" w:rsidRPr="00E1305D">
        <w:t xml:space="preserve"> </w:t>
      </w:r>
      <w:r w:rsidR="008F0D26" w:rsidRPr="00E1305D">
        <w:t>below:</w:t>
      </w:r>
    </w:p>
    <w:p w:rsidR="00B436F1" w:rsidRDefault="00B436F1" w:rsidP="00B436F1">
      <w:pPr>
        <w:pStyle w:val="ListParagraph"/>
        <w:spacing w:after="120"/>
        <w:ind w:left="744" w:right="386"/>
      </w:pPr>
    </w:p>
    <w:p w:rsidR="00C76527" w:rsidRDefault="00C76527" w:rsidP="00B436F1">
      <w:pPr>
        <w:pStyle w:val="ListParagraph"/>
        <w:spacing w:after="120"/>
        <w:ind w:left="744" w:right="386"/>
      </w:pPr>
    </w:p>
    <w:p w:rsidR="00C76527" w:rsidRDefault="00C76527" w:rsidP="00B436F1">
      <w:pPr>
        <w:pStyle w:val="ListParagraph"/>
        <w:spacing w:after="120"/>
        <w:ind w:left="744" w:right="386"/>
      </w:pPr>
    </w:p>
    <w:p w:rsidR="00C76527" w:rsidRDefault="00C76527" w:rsidP="00B436F1">
      <w:pPr>
        <w:pStyle w:val="ListParagraph"/>
        <w:spacing w:after="120"/>
        <w:ind w:left="744" w:right="386"/>
      </w:pPr>
    </w:p>
    <w:p w:rsidR="00882E86" w:rsidRPr="00E1305D" w:rsidRDefault="00882E86" w:rsidP="00882E86">
      <w:pPr>
        <w:pStyle w:val="ListParagraph"/>
        <w:spacing w:after="120"/>
        <w:ind w:left="567" w:right="386"/>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0"/>
        <w:gridCol w:w="2127"/>
        <w:gridCol w:w="2268"/>
      </w:tblGrid>
      <w:tr w:rsidR="008E66A7" w:rsidRPr="00E1305D" w:rsidTr="008E66A7">
        <w:tc>
          <w:tcPr>
            <w:tcW w:w="8505" w:type="dxa"/>
            <w:gridSpan w:val="3"/>
            <w:shd w:val="clear" w:color="auto" w:fill="BFBFBF" w:themeFill="background1" w:themeFillShade="BF"/>
          </w:tcPr>
          <w:p w:rsidR="008E66A7" w:rsidRPr="00E1305D" w:rsidRDefault="008E66A7" w:rsidP="005F4004">
            <w:pPr>
              <w:spacing w:after="120"/>
              <w:ind w:right="386"/>
              <w:rPr>
                <w:b/>
              </w:rPr>
            </w:pPr>
            <w:r w:rsidRPr="00E1305D">
              <w:rPr>
                <w:b/>
              </w:rPr>
              <w:lastRenderedPageBreak/>
              <w:t xml:space="preserve">Table </w:t>
            </w:r>
            <w:r w:rsidR="00967143">
              <w:rPr>
                <w:b/>
              </w:rPr>
              <w:t>7</w:t>
            </w:r>
            <w:r w:rsidR="007850C0">
              <w:rPr>
                <w:b/>
              </w:rPr>
              <w:t xml:space="preserve"> </w:t>
            </w:r>
            <w:r w:rsidRPr="00E1305D">
              <w:rPr>
                <w:b/>
              </w:rPr>
              <w:t xml:space="preserve">: </w:t>
            </w:r>
            <w:r w:rsidR="005F4004" w:rsidRPr="00E1305D">
              <w:rPr>
                <w:b/>
              </w:rPr>
              <w:t xml:space="preserve"> </w:t>
            </w:r>
            <w:r w:rsidR="00C532F4" w:rsidRPr="00E1305D">
              <w:rPr>
                <w:b/>
              </w:rPr>
              <w:t>Retained Business Rates</w:t>
            </w:r>
          </w:p>
        </w:tc>
      </w:tr>
      <w:tr w:rsidR="00A541EB" w:rsidRPr="00E1305D" w:rsidTr="008E66A7">
        <w:tc>
          <w:tcPr>
            <w:tcW w:w="4110" w:type="dxa"/>
            <w:shd w:val="clear" w:color="auto" w:fill="BFBFBF" w:themeFill="background1" w:themeFillShade="BF"/>
          </w:tcPr>
          <w:p w:rsidR="00A541EB" w:rsidRPr="00E1305D" w:rsidRDefault="00A541EB" w:rsidP="00B80EBF">
            <w:pPr>
              <w:spacing w:after="120"/>
              <w:ind w:right="386"/>
            </w:pPr>
          </w:p>
        </w:tc>
        <w:tc>
          <w:tcPr>
            <w:tcW w:w="2127" w:type="dxa"/>
            <w:shd w:val="clear" w:color="auto" w:fill="BFBFBF" w:themeFill="background1" w:themeFillShade="BF"/>
          </w:tcPr>
          <w:p w:rsidR="00A541EB" w:rsidRPr="00E1305D" w:rsidRDefault="00A541EB" w:rsidP="00882E86">
            <w:pPr>
              <w:spacing w:after="120"/>
              <w:jc w:val="center"/>
              <w:rPr>
                <w:b/>
              </w:rPr>
            </w:pPr>
            <w:r w:rsidRPr="00E1305D">
              <w:rPr>
                <w:b/>
              </w:rPr>
              <w:t>Total</w:t>
            </w:r>
          </w:p>
        </w:tc>
        <w:tc>
          <w:tcPr>
            <w:tcW w:w="2268" w:type="dxa"/>
            <w:shd w:val="clear" w:color="auto" w:fill="BFBFBF" w:themeFill="background1" w:themeFillShade="BF"/>
          </w:tcPr>
          <w:p w:rsidR="00A541EB" w:rsidRPr="00E1305D" w:rsidRDefault="00A541EB" w:rsidP="00882E86">
            <w:pPr>
              <w:spacing w:after="120"/>
              <w:jc w:val="center"/>
              <w:rPr>
                <w:b/>
              </w:rPr>
            </w:pPr>
            <w:r w:rsidRPr="00E1305D">
              <w:rPr>
                <w:b/>
              </w:rPr>
              <w:t>Variation</w:t>
            </w:r>
          </w:p>
        </w:tc>
      </w:tr>
      <w:tr w:rsidR="00A541EB" w:rsidRPr="00E1305D" w:rsidTr="008E66A7">
        <w:tc>
          <w:tcPr>
            <w:tcW w:w="4110" w:type="dxa"/>
            <w:shd w:val="clear" w:color="auto" w:fill="BFBFBF" w:themeFill="background1" w:themeFillShade="BF"/>
          </w:tcPr>
          <w:p w:rsidR="00A541EB" w:rsidRPr="00E1305D" w:rsidRDefault="00A541EB" w:rsidP="00B80EBF">
            <w:pPr>
              <w:spacing w:after="120"/>
              <w:ind w:right="386"/>
            </w:pPr>
          </w:p>
        </w:tc>
        <w:tc>
          <w:tcPr>
            <w:tcW w:w="2127" w:type="dxa"/>
            <w:shd w:val="clear" w:color="auto" w:fill="BFBFBF" w:themeFill="background1" w:themeFillShade="BF"/>
          </w:tcPr>
          <w:p w:rsidR="00A541EB" w:rsidRPr="00E1305D" w:rsidRDefault="00A541EB" w:rsidP="00882E86">
            <w:pPr>
              <w:spacing w:after="120"/>
              <w:jc w:val="center"/>
              <w:rPr>
                <w:b/>
              </w:rPr>
            </w:pPr>
            <w:r w:rsidRPr="00E1305D">
              <w:rPr>
                <w:b/>
              </w:rPr>
              <w:t>£million</w:t>
            </w:r>
          </w:p>
        </w:tc>
        <w:tc>
          <w:tcPr>
            <w:tcW w:w="2268" w:type="dxa"/>
            <w:shd w:val="clear" w:color="auto" w:fill="BFBFBF" w:themeFill="background1" w:themeFillShade="BF"/>
          </w:tcPr>
          <w:p w:rsidR="00A541EB" w:rsidRPr="00E1305D" w:rsidRDefault="00A541EB" w:rsidP="00882E86">
            <w:pPr>
              <w:spacing w:after="120"/>
              <w:jc w:val="center"/>
              <w:rPr>
                <w:b/>
              </w:rPr>
            </w:pPr>
            <w:r w:rsidRPr="00E1305D">
              <w:rPr>
                <w:b/>
              </w:rPr>
              <w:t>%</w:t>
            </w:r>
          </w:p>
        </w:tc>
      </w:tr>
      <w:tr w:rsidR="00A541EB" w:rsidRPr="00E1305D" w:rsidTr="008E66A7">
        <w:tc>
          <w:tcPr>
            <w:tcW w:w="4110" w:type="dxa"/>
          </w:tcPr>
          <w:p w:rsidR="00A541EB" w:rsidRPr="00E1305D" w:rsidRDefault="00A541EB" w:rsidP="00B80EBF">
            <w:pPr>
              <w:spacing w:after="120"/>
              <w:ind w:right="386"/>
            </w:pPr>
            <w:r w:rsidRPr="00E1305D">
              <w:t>2018/19</w:t>
            </w:r>
          </w:p>
        </w:tc>
        <w:tc>
          <w:tcPr>
            <w:tcW w:w="2127" w:type="dxa"/>
          </w:tcPr>
          <w:p w:rsidR="00A541EB" w:rsidRPr="00E1305D" w:rsidRDefault="00A541EB" w:rsidP="00882E86">
            <w:pPr>
              <w:spacing w:after="120"/>
              <w:jc w:val="center"/>
            </w:pPr>
            <w:r w:rsidRPr="00E1305D">
              <w:t>8.169</w:t>
            </w:r>
          </w:p>
        </w:tc>
        <w:tc>
          <w:tcPr>
            <w:tcW w:w="2268" w:type="dxa"/>
          </w:tcPr>
          <w:p w:rsidR="00A541EB" w:rsidRPr="00E1305D" w:rsidRDefault="00A541EB" w:rsidP="00882E86">
            <w:pPr>
              <w:spacing w:after="120"/>
              <w:jc w:val="center"/>
            </w:pPr>
            <w:r w:rsidRPr="00E1305D">
              <w:t>19.83</w:t>
            </w:r>
          </w:p>
        </w:tc>
      </w:tr>
      <w:tr w:rsidR="00A541EB" w:rsidRPr="00E1305D" w:rsidTr="008E66A7">
        <w:tc>
          <w:tcPr>
            <w:tcW w:w="4110" w:type="dxa"/>
          </w:tcPr>
          <w:p w:rsidR="00A541EB" w:rsidRPr="00E1305D" w:rsidRDefault="00A541EB" w:rsidP="00B80EBF">
            <w:pPr>
              <w:spacing w:after="120"/>
              <w:ind w:right="386"/>
            </w:pPr>
            <w:r w:rsidRPr="00E1305D">
              <w:t>2019/20</w:t>
            </w:r>
          </w:p>
        </w:tc>
        <w:tc>
          <w:tcPr>
            <w:tcW w:w="2127" w:type="dxa"/>
          </w:tcPr>
          <w:p w:rsidR="00A541EB" w:rsidRPr="00E1305D" w:rsidRDefault="00EF163F" w:rsidP="00882E86">
            <w:pPr>
              <w:spacing w:after="120"/>
              <w:jc w:val="center"/>
            </w:pPr>
            <w:r w:rsidRPr="00E1305D">
              <w:t>9.</w:t>
            </w:r>
            <w:r w:rsidR="000C2E11" w:rsidRPr="00E1305D">
              <w:t>1</w:t>
            </w:r>
            <w:r w:rsidRPr="00E1305D">
              <w:t>63</w:t>
            </w:r>
          </w:p>
        </w:tc>
        <w:tc>
          <w:tcPr>
            <w:tcW w:w="2268" w:type="dxa"/>
          </w:tcPr>
          <w:p w:rsidR="00A541EB" w:rsidRPr="00E1305D" w:rsidRDefault="00EF163F" w:rsidP="00882E86">
            <w:pPr>
              <w:spacing w:after="120"/>
              <w:jc w:val="center"/>
            </w:pPr>
            <w:r w:rsidRPr="00E1305D">
              <w:t>1</w:t>
            </w:r>
            <w:r w:rsidR="000C2E11" w:rsidRPr="00E1305D">
              <w:t>2</w:t>
            </w:r>
            <w:r w:rsidRPr="00E1305D">
              <w:t>.</w:t>
            </w:r>
            <w:r w:rsidR="000C2E11" w:rsidRPr="00E1305D">
              <w:t>17</w:t>
            </w:r>
          </w:p>
        </w:tc>
      </w:tr>
      <w:tr w:rsidR="00A541EB" w:rsidRPr="00E1305D" w:rsidTr="008E66A7">
        <w:tc>
          <w:tcPr>
            <w:tcW w:w="4110" w:type="dxa"/>
          </w:tcPr>
          <w:p w:rsidR="00A541EB" w:rsidRPr="00E1305D" w:rsidRDefault="00A541EB" w:rsidP="00B80EBF">
            <w:pPr>
              <w:spacing w:after="120"/>
              <w:ind w:right="386"/>
            </w:pPr>
            <w:r w:rsidRPr="00E1305D">
              <w:t>2020/21</w:t>
            </w:r>
          </w:p>
        </w:tc>
        <w:tc>
          <w:tcPr>
            <w:tcW w:w="2127" w:type="dxa"/>
          </w:tcPr>
          <w:p w:rsidR="00A541EB" w:rsidRPr="00E1305D" w:rsidRDefault="00EF163F" w:rsidP="00882E86">
            <w:pPr>
              <w:spacing w:after="120"/>
              <w:jc w:val="center"/>
            </w:pPr>
            <w:r w:rsidRPr="00E1305D">
              <w:t>8.</w:t>
            </w:r>
            <w:r w:rsidR="002E5017" w:rsidRPr="00E1305D">
              <w:t>099</w:t>
            </w:r>
          </w:p>
        </w:tc>
        <w:tc>
          <w:tcPr>
            <w:tcW w:w="2268" w:type="dxa"/>
          </w:tcPr>
          <w:p w:rsidR="00A541EB" w:rsidRPr="00E1305D" w:rsidRDefault="002E5017" w:rsidP="00882E86">
            <w:pPr>
              <w:spacing w:after="120"/>
              <w:jc w:val="center"/>
            </w:pPr>
            <w:r w:rsidRPr="00E1305D">
              <w:t>(11.6)</w:t>
            </w:r>
          </w:p>
        </w:tc>
      </w:tr>
      <w:tr w:rsidR="00A541EB" w:rsidRPr="00E1305D" w:rsidTr="008E66A7">
        <w:tc>
          <w:tcPr>
            <w:tcW w:w="4110" w:type="dxa"/>
          </w:tcPr>
          <w:p w:rsidR="00A541EB" w:rsidRPr="00E1305D" w:rsidRDefault="00A541EB" w:rsidP="00B80EBF">
            <w:pPr>
              <w:spacing w:after="120"/>
              <w:ind w:right="386"/>
            </w:pPr>
            <w:r w:rsidRPr="00E1305D">
              <w:t>2021/22</w:t>
            </w:r>
          </w:p>
        </w:tc>
        <w:tc>
          <w:tcPr>
            <w:tcW w:w="2127" w:type="dxa"/>
          </w:tcPr>
          <w:p w:rsidR="00A541EB" w:rsidRPr="00E1305D" w:rsidRDefault="002E5017" w:rsidP="00882E86">
            <w:pPr>
              <w:spacing w:after="120"/>
              <w:jc w:val="center"/>
            </w:pPr>
            <w:r w:rsidRPr="00E1305D">
              <w:t>8</w:t>
            </w:r>
            <w:r w:rsidR="00A541EB" w:rsidRPr="00E1305D">
              <w:t>.</w:t>
            </w:r>
            <w:r w:rsidRPr="00E1305D">
              <w:t>228</w:t>
            </w:r>
          </w:p>
        </w:tc>
        <w:tc>
          <w:tcPr>
            <w:tcW w:w="2268" w:type="dxa"/>
          </w:tcPr>
          <w:p w:rsidR="00A541EB" w:rsidRPr="00E1305D" w:rsidRDefault="002E5017" w:rsidP="00882E86">
            <w:pPr>
              <w:spacing w:after="120"/>
              <w:jc w:val="center"/>
            </w:pPr>
            <w:r w:rsidRPr="00E1305D">
              <w:t>1.59</w:t>
            </w:r>
          </w:p>
        </w:tc>
      </w:tr>
      <w:tr w:rsidR="000C2E11" w:rsidRPr="00E1305D" w:rsidTr="008E66A7">
        <w:tc>
          <w:tcPr>
            <w:tcW w:w="4110" w:type="dxa"/>
          </w:tcPr>
          <w:p w:rsidR="000C2E11" w:rsidRPr="00E1305D" w:rsidRDefault="000C2E11" w:rsidP="00B80EBF">
            <w:pPr>
              <w:spacing w:after="120"/>
              <w:ind w:right="386"/>
            </w:pPr>
            <w:r w:rsidRPr="00E1305D">
              <w:t>2022/23</w:t>
            </w:r>
            <w:r w:rsidR="002E5017" w:rsidRPr="00E1305D">
              <w:t>*</w:t>
            </w:r>
          </w:p>
        </w:tc>
        <w:tc>
          <w:tcPr>
            <w:tcW w:w="2127" w:type="dxa"/>
          </w:tcPr>
          <w:p w:rsidR="000C2E11" w:rsidRPr="00E1305D" w:rsidRDefault="002E5017" w:rsidP="00882E86">
            <w:pPr>
              <w:spacing w:after="120"/>
              <w:jc w:val="center"/>
            </w:pPr>
            <w:r w:rsidRPr="00E1305D">
              <w:t>5</w:t>
            </w:r>
            <w:r w:rsidR="000C2E11" w:rsidRPr="00E1305D">
              <w:t>.</w:t>
            </w:r>
            <w:r w:rsidRPr="00E1305D">
              <w:t>859</w:t>
            </w:r>
          </w:p>
        </w:tc>
        <w:tc>
          <w:tcPr>
            <w:tcW w:w="2268" w:type="dxa"/>
          </w:tcPr>
          <w:p w:rsidR="000C2E11" w:rsidRPr="00E1305D" w:rsidRDefault="002E5017" w:rsidP="00882E86">
            <w:pPr>
              <w:spacing w:after="120"/>
              <w:jc w:val="center"/>
            </w:pPr>
            <w:r w:rsidRPr="00E1305D">
              <w:t>(28.8)</w:t>
            </w:r>
          </w:p>
        </w:tc>
      </w:tr>
      <w:tr w:rsidR="00EF163F" w:rsidRPr="00E1305D" w:rsidTr="008E66A7">
        <w:tc>
          <w:tcPr>
            <w:tcW w:w="4110" w:type="dxa"/>
          </w:tcPr>
          <w:p w:rsidR="00EF163F" w:rsidRPr="00E1305D" w:rsidRDefault="00EF163F" w:rsidP="00B80EBF">
            <w:pPr>
              <w:spacing w:after="120"/>
              <w:ind w:right="386"/>
            </w:pPr>
            <w:r w:rsidRPr="00E1305D">
              <w:t>202</w:t>
            </w:r>
            <w:r w:rsidR="000C2E11" w:rsidRPr="00E1305D">
              <w:t>3</w:t>
            </w:r>
            <w:r w:rsidRPr="00E1305D">
              <w:t>/2</w:t>
            </w:r>
            <w:r w:rsidR="000C2E11" w:rsidRPr="00E1305D">
              <w:t>4</w:t>
            </w:r>
          </w:p>
        </w:tc>
        <w:tc>
          <w:tcPr>
            <w:tcW w:w="2127" w:type="dxa"/>
          </w:tcPr>
          <w:p w:rsidR="00EF163F" w:rsidRPr="00E1305D" w:rsidRDefault="002E5017" w:rsidP="00882E86">
            <w:pPr>
              <w:spacing w:after="120"/>
              <w:jc w:val="center"/>
            </w:pPr>
            <w:r w:rsidRPr="00E1305D">
              <w:t>6</w:t>
            </w:r>
            <w:r w:rsidR="000C2E11" w:rsidRPr="00E1305D">
              <w:t>.</w:t>
            </w:r>
            <w:r w:rsidRPr="00E1305D">
              <w:t>196</w:t>
            </w:r>
          </w:p>
        </w:tc>
        <w:tc>
          <w:tcPr>
            <w:tcW w:w="2268" w:type="dxa"/>
          </w:tcPr>
          <w:p w:rsidR="00EF163F" w:rsidRPr="00E1305D" w:rsidRDefault="002E5017" w:rsidP="00882E86">
            <w:pPr>
              <w:spacing w:after="120"/>
              <w:jc w:val="center"/>
            </w:pPr>
            <w:r w:rsidRPr="00E1305D">
              <w:t>5.75</w:t>
            </w:r>
          </w:p>
        </w:tc>
      </w:tr>
      <w:tr w:rsidR="002E5017" w:rsidRPr="00E1305D" w:rsidTr="008E66A7">
        <w:tc>
          <w:tcPr>
            <w:tcW w:w="4110" w:type="dxa"/>
          </w:tcPr>
          <w:p w:rsidR="002E5017" w:rsidRPr="00E1305D" w:rsidRDefault="002E5017" w:rsidP="00B80EBF">
            <w:pPr>
              <w:spacing w:after="120"/>
              <w:ind w:right="386"/>
            </w:pPr>
            <w:r w:rsidRPr="00E1305D">
              <w:t>2024/25</w:t>
            </w:r>
          </w:p>
        </w:tc>
        <w:tc>
          <w:tcPr>
            <w:tcW w:w="2127" w:type="dxa"/>
          </w:tcPr>
          <w:p w:rsidR="002E5017" w:rsidRPr="00E1305D" w:rsidRDefault="002E5017" w:rsidP="00882E86">
            <w:pPr>
              <w:spacing w:after="120"/>
              <w:jc w:val="center"/>
            </w:pPr>
            <w:r w:rsidRPr="00E1305D">
              <w:t>6.538</w:t>
            </w:r>
          </w:p>
        </w:tc>
        <w:tc>
          <w:tcPr>
            <w:tcW w:w="2268" w:type="dxa"/>
          </w:tcPr>
          <w:p w:rsidR="002E5017" w:rsidRPr="00E1305D" w:rsidRDefault="002E5017" w:rsidP="00882E86">
            <w:pPr>
              <w:spacing w:after="120"/>
              <w:jc w:val="center"/>
            </w:pPr>
            <w:r w:rsidRPr="00E1305D">
              <w:t>5.52</w:t>
            </w:r>
          </w:p>
        </w:tc>
      </w:tr>
    </w:tbl>
    <w:p w:rsidR="009605DC" w:rsidRPr="00E1305D" w:rsidRDefault="009605DC" w:rsidP="00B80EBF">
      <w:pPr>
        <w:spacing w:after="120"/>
        <w:ind w:left="567" w:right="386"/>
      </w:pPr>
      <w:r w:rsidRPr="00E1305D">
        <w:t xml:space="preserve">*    Fairer funding </w:t>
      </w:r>
      <w:r w:rsidR="002E5017" w:rsidRPr="00E1305D">
        <w:t xml:space="preserve">and business rates re-set </w:t>
      </w:r>
      <w:r w:rsidRPr="00E1305D">
        <w:t>introduced</w:t>
      </w:r>
    </w:p>
    <w:p w:rsidR="00B80EBF" w:rsidRPr="00E1305D" w:rsidRDefault="00644CAE" w:rsidP="00B80EBF">
      <w:pPr>
        <w:spacing w:after="120"/>
        <w:ind w:left="567" w:right="386" w:hanging="567"/>
      </w:pPr>
      <w:r w:rsidRPr="00E1305D">
        <w:tab/>
      </w:r>
    </w:p>
    <w:p w:rsidR="00644CAE" w:rsidRPr="00E1305D" w:rsidRDefault="00644CAE" w:rsidP="00B80EBF">
      <w:pPr>
        <w:spacing w:after="120"/>
        <w:ind w:left="567" w:right="386" w:hanging="567"/>
        <w:rPr>
          <w:b/>
        </w:rPr>
      </w:pPr>
      <w:r w:rsidRPr="00E1305D">
        <w:rPr>
          <w:b/>
        </w:rPr>
        <w:t xml:space="preserve">Fairer Funding Review and </w:t>
      </w:r>
      <w:r w:rsidR="00894492" w:rsidRPr="00E1305D">
        <w:rPr>
          <w:b/>
        </w:rPr>
        <w:t>75</w:t>
      </w:r>
      <w:r w:rsidRPr="00E1305D">
        <w:rPr>
          <w:b/>
        </w:rPr>
        <w:t>% Retained Business Rates</w:t>
      </w:r>
    </w:p>
    <w:p w:rsidR="004A7165" w:rsidRPr="00E1305D" w:rsidRDefault="00644CAE" w:rsidP="007E34DD">
      <w:pPr>
        <w:pStyle w:val="ListParagraph"/>
        <w:numPr>
          <w:ilvl w:val="0"/>
          <w:numId w:val="45"/>
        </w:numPr>
        <w:spacing w:after="120"/>
        <w:ind w:right="386" w:hanging="744"/>
      </w:pPr>
      <w:r w:rsidRPr="00E1305D">
        <w:t>The Gove</w:t>
      </w:r>
      <w:r w:rsidR="002D386C" w:rsidRPr="00E1305D">
        <w:t xml:space="preserve">rnment is still committed to its </w:t>
      </w:r>
      <w:r w:rsidR="0045646F">
        <w:t xml:space="preserve">so called </w:t>
      </w:r>
      <w:r w:rsidR="002D386C" w:rsidRPr="00E1305D">
        <w:t>Fairer F</w:t>
      </w:r>
      <w:r w:rsidRPr="00E1305D">
        <w:t xml:space="preserve">unding review alongside the </w:t>
      </w:r>
      <w:r w:rsidR="00965F96" w:rsidRPr="00E1305D">
        <w:t>75</w:t>
      </w:r>
      <w:r w:rsidRPr="00E1305D">
        <w:t>% Business Rates retention system</w:t>
      </w:r>
      <w:r w:rsidR="00E1305D" w:rsidRPr="00E1305D">
        <w:t xml:space="preserve">. </w:t>
      </w:r>
      <w:r w:rsidR="00F04BA4">
        <w:t>T</w:t>
      </w:r>
      <w:r w:rsidR="00E1305D" w:rsidRPr="00E1305D">
        <w:t xml:space="preserve">his </w:t>
      </w:r>
      <w:r w:rsidRPr="00E1305D">
        <w:t xml:space="preserve">will be introduced with effect from </w:t>
      </w:r>
      <w:r w:rsidR="004C7192" w:rsidRPr="00E1305D">
        <w:t>1</w:t>
      </w:r>
      <w:r w:rsidR="004C7192" w:rsidRPr="00E1305D">
        <w:rPr>
          <w:vertAlign w:val="superscript"/>
        </w:rPr>
        <w:t>st</w:t>
      </w:r>
      <w:r w:rsidR="004C7192" w:rsidRPr="00E1305D">
        <w:t xml:space="preserve"> April</w:t>
      </w:r>
      <w:r w:rsidR="003E46E1" w:rsidRPr="00E1305D">
        <w:t xml:space="preserve"> </w:t>
      </w:r>
      <w:r w:rsidRPr="00E1305D">
        <w:t>20</w:t>
      </w:r>
      <w:r w:rsidR="00965F96" w:rsidRPr="00E1305D">
        <w:t>2</w:t>
      </w:r>
      <w:r w:rsidR="002E5017" w:rsidRPr="00E1305D">
        <w:t>2</w:t>
      </w:r>
      <w:r w:rsidR="002D386C" w:rsidRPr="00E1305D">
        <w:t xml:space="preserve">. </w:t>
      </w:r>
      <w:r w:rsidRPr="00E1305D">
        <w:t xml:space="preserve">Under the retained business rates system the Council will be able to retain </w:t>
      </w:r>
      <w:r w:rsidR="00965F96" w:rsidRPr="00E1305D">
        <w:t>75</w:t>
      </w:r>
      <w:r w:rsidR="00894492" w:rsidRPr="00E1305D">
        <w:t xml:space="preserve">% </w:t>
      </w:r>
      <w:r w:rsidRPr="00E1305D">
        <w:t xml:space="preserve">of all business rates above the baseline, instead of </w:t>
      </w:r>
      <w:r w:rsidR="00E1305D" w:rsidRPr="00E1305D">
        <w:t xml:space="preserve">the current </w:t>
      </w:r>
      <w:r w:rsidRPr="00E1305D">
        <w:t>50%. It is thought there will new burdens passed to local authorities in exchange for this change.</w:t>
      </w:r>
    </w:p>
    <w:p w:rsidR="00644CAE" w:rsidRPr="00E1305D" w:rsidRDefault="005F4004" w:rsidP="007E34DD">
      <w:pPr>
        <w:pStyle w:val="ListParagraph"/>
        <w:numPr>
          <w:ilvl w:val="0"/>
          <w:numId w:val="45"/>
        </w:numPr>
        <w:spacing w:after="120"/>
        <w:ind w:right="386" w:hanging="744"/>
      </w:pPr>
      <w:r w:rsidRPr="00E1305D">
        <w:t>A</w:t>
      </w:r>
      <w:r w:rsidR="00644CAE" w:rsidRPr="00E1305D">
        <w:t xml:space="preserve">lthough there is little information available it is understood that the ‘fairer funding’ review will seek </w:t>
      </w:r>
      <w:r w:rsidR="006D6BBB" w:rsidRPr="00E1305D">
        <w:t>to:</w:t>
      </w:r>
    </w:p>
    <w:p w:rsidR="00644CAE" w:rsidRPr="00E1305D" w:rsidRDefault="00243D69" w:rsidP="007E34DD">
      <w:pPr>
        <w:pStyle w:val="Heading1"/>
        <w:numPr>
          <w:ilvl w:val="0"/>
          <w:numId w:val="16"/>
        </w:numPr>
        <w:tabs>
          <w:tab w:val="clear" w:pos="1778"/>
        </w:tabs>
        <w:ind w:left="1134" w:hanging="425"/>
        <w:rPr>
          <w:b w:val="0"/>
        </w:rPr>
      </w:pPr>
      <w:r w:rsidRPr="00E1305D">
        <w:rPr>
          <w:b w:val="0"/>
        </w:rPr>
        <w:t>Set</w:t>
      </w:r>
      <w:r w:rsidR="00644CAE" w:rsidRPr="00E1305D">
        <w:rPr>
          <w:b w:val="0"/>
        </w:rPr>
        <w:t xml:space="preserve"> new baseline funding all</w:t>
      </w:r>
      <w:r w:rsidR="00E1305D" w:rsidRPr="00E1305D">
        <w:rPr>
          <w:b w:val="0"/>
        </w:rPr>
        <w:t xml:space="preserve">ocations for local authorities. The </w:t>
      </w:r>
      <w:r w:rsidR="0045646F">
        <w:rPr>
          <w:b w:val="0"/>
        </w:rPr>
        <w:t xml:space="preserve">City </w:t>
      </w:r>
      <w:r w:rsidR="00E1305D" w:rsidRPr="00E1305D">
        <w:rPr>
          <w:b w:val="0"/>
        </w:rPr>
        <w:t xml:space="preserve">Council is currently around £6.7 million above baseline and is likely to see a significant reduction in business rates income for which </w:t>
      </w:r>
      <w:r w:rsidR="0045646F">
        <w:rPr>
          <w:b w:val="0"/>
        </w:rPr>
        <w:t>a provision of around £2.5 million</w:t>
      </w:r>
      <w:r w:rsidR="00603CCF">
        <w:rPr>
          <w:b w:val="0"/>
        </w:rPr>
        <w:t xml:space="preserve"> has been put in the MTFS</w:t>
      </w:r>
      <w:r w:rsidR="00E1305D" w:rsidRPr="00E1305D">
        <w:rPr>
          <w:b w:val="0"/>
        </w:rPr>
        <w:t>.</w:t>
      </w:r>
    </w:p>
    <w:p w:rsidR="00644CAE" w:rsidRPr="00E1305D" w:rsidRDefault="00243D69" w:rsidP="007E34DD">
      <w:pPr>
        <w:pStyle w:val="Heading1"/>
        <w:numPr>
          <w:ilvl w:val="0"/>
          <w:numId w:val="16"/>
        </w:numPr>
        <w:tabs>
          <w:tab w:val="clear" w:pos="1778"/>
        </w:tabs>
        <w:ind w:left="1134" w:hanging="425"/>
        <w:rPr>
          <w:b w:val="0"/>
        </w:rPr>
      </w:pPr>
      <w:r w:rsidRPr="00E1305D">
        <w:rPr>
          <w:b w:val="0"/>
        </w:rPr>
        <w:t>Deliver</w:t>
      </w:r>
      <w:r w:rsidR="00644CAE" w:rsidRPr="00E1305D">
        <w:rPr>
          <w:b w:val="0"/>
        </w:rPr>
        <w:t xml:space="preserve"> an up-to-date assessment of the relative needs of local authorities, </w:t>
      </w:r>
    </w:p>
    <w:p w:rsidR="00644CAE" w:rsidRPr="00E1305D" w:rsidRDefault="00243D69" w:rsidP="007E34DD">
      <w:pPr>
        <w:pStyle w:val="Heading1"/>
        <w:numPr>
          <w:ilvl w:val="0"/>
          <w:numId w:val="16"/>
        </w:numPr>
        <w:tabs>
          <w:tab w:val="clear" w:pos="1778"/>
        </w:tabs>
        <w:ind w:left="1134" w:hanging="425"/>
        <w:rPr>
          <w:b w:val="0"/>
        </w:rPr>
      </w:pPr>
      <w:r w:rsidRPr="00E1305D">
        <w:rPr>
          <w:b w:val="0"/>
        </w:rPr>
        <w:t>Examine</w:t>
      </w:r>
      <w:r w:rsidR="00644CAE" w:rsidRPr="00E1305D">
        <w:rPr>
          <w:b w:val="0"/>
        </w:rPr>
        <w:t xml:space="preserve"> the relative resources of local authorities, </w:t>
      </w:r>
    </w:p>
    <w:p w:rsidR="00EE6A4D" w:rsidRPr="00E1305D" w:rsidRDefault="00EE6A4D" w:rsidP="00B80EBF"/>
    <w:p w:rsidR="00E547AA" w:rsidRPr="00E1305D" w:rsidRDefault="00E547AA" w:rsidP="00B80EBF">
      <w:pPr>
        <w:tabs>
          <w:tab w:val="left" w:pos="540"/>
        </w:tabs>
        <w:spacing w:after="120"/>
        <w:ind w:right="386"/>
        <w:rPr>
          <w:b/>
        </w:rPr>
      </w:pPr>
      <w:r w:rsidRPr="00E1305D">
        <w:rPr>
          <w:b/>
        </w:rPr>
        <w:t xml:space="preserve">Oxfordshire </w:t>
      </w:r>
      <w:r w:rsidR="00EC0302" w:rsidRPr="00E1305D">
        <w:rPr>
          <w:b/>
        </w:rPr>
        <w:t xml:space="preserve">Business Rates </w:t>
      </w:r>
      <w:r w:rsidRPr="00E1305D">
        <w:rPr>
          <w:b/>
        </w:rPr>
        <w:t>Pool Arrangements</w:t>
      </w:r>
    </w:p>
    <w:p w:rsidR="00F8383D" w:rsidRPr="00E1305D" w:rsidRDefault="000C2E11" w:rsidP="007E34DD">
      <w:pPr>
        <w:pStyle w:val="ReportNumbering"/>
        <w:numPr>
          <w:ilvl w:val="0"/>
          <w:numId w:val="46"/>
        </w:numPr>
        <w:ind w:hanging="720"/>
      </w:pPr>
      <w:r w:rsidRPr="00E1305D">
        <w:t>For 202</w:t>
      </w:r>
      <w:r w:rsidR="00E1305D" w:rsidRPr="00E1305D">
        <w:t>1</w:t>
      </w:r>
      <w:r w:rsidRPr="00E1305D">
        <w:t>-2</w:t>
      </w:r>
      <w:r w:rsidR="00E1305D" w:rsidRPr="00E1305D">
        <w:t>2</w:t>
      </w:r>
      <w:r w:rsidRPr="00E1305D">
        <w:t xml:space="preserve"> as in previous years</w:t>
      </w:r>
      <w:r w:rsidR="006C1819" w:rsidRPr="00E1305D">
        <w:t xml:space="preserve"> </w:t>
      </w:r>
      <w:r w:rsidR="00ED7721" w:rsidRPr="00E1305D">
        <w:t xml:space="preserve">the </w:t>
      </w:r>
      <w:r w:rsidR="006C1819" w:rsidRPr="00E1305D">
        <w:t>W</w:t>
      </w:r>
      <w:r w:rsidR="00ED7721" w:rsidRPr="00E1305D">
        <w:t xml:space="preserve">est Oxfordshire Business Rates Pool </w:t>
      </w:r>
      <w:r w:rsidR="00CE0C1F" w:rsidRPr="00E1305D">
        <w:t xml:space="preserve">consisting of Oxfordshire County Council (OCC), Cherwell District Council (CDC) and West Oxfordshire District Council (WODC) will be formed. </w:t>
      </w:r>
    </w:p>
    <w:p w:rsidR="00CE0C1F" w:rsidRPr="00382904" w:rsidRDefault="00F626A2" w:rsidP="007E34DD">
      <w:pPr>
        <w:pStyle w:val="ReportNumbering"/>
        <w:numPr>
          <w:ilvl w:val="0"/>
          <w:numId w:val="46"/>
        </w:numPr>
        <w:ind w:left="709" w:hanging="709"/>
      </w:pPr>
      <w:r w:rsidRPr="00E1305D">
        <w:t xml:space="preserve">Oxford City Council is not part of the current Business Rates Pool as </w:t>
      </w:r>
      <w:r w:rsidR="00111061" w:rsidRPr="00E1305D">
        <w:t>the Council’s</w:t>
      </w:r>
      <w:r w:rsidR="00F8383D" w:rsidRPr="00E1305D">
        <w:t xml:space="preserve"> inclusion does not optimise the financial return to Pool members given the interaction of levy payments to Government. In order that the Council itself is not financially disadvantaged it is part of a </w:t>
      </w:r>
      <w:r w:rsidR="00CE0C1F" w:rsidRPr="00E1305D">
        <w:t>Business Rates Distribution Group</w:t>
      </w:r>
      <w:r w:rsidR="00111061" w:rsidRPr="00E1305D">
        <w:t xml:space="preserve"> (the Group)</w:t>
      </w:r>
      <w:r w:rsidR="00F8383D" w:rsidRPr="00E1305D">
        <w:t xml:space="preserve"> with South Oxfordshire District Council which receives a distribution of </w:t>
      </w:r>
      <w:r w:rsidR="00F8383D" w:rsidRPr="00382904">
        <w:t>growth achieved from the Pool</w:t>
      </w:r>
      <w:r w:rsidR="006C1819" w:rsidRPr="00382904">
        <w:t xml:space="preserve"> in exchange for taking some of the risk for business rates losses. This risk is deemed acceptable by the Council</w:t>
      </w:r>
      <w:r w:rsidR="00672354" w:rsidRPr="00382904">
        <w:t>’</w:t>
      </w:r>
      <w:r w:rsidR="006C1819" w:rsidRPr="00382904">
        <w:t>s Chief Financial Officer given the potential one off return to the Council.</w:t>
      </w:r>
      <w:r w:rsidR="00F8383D" w:rsidRPr="00382904">
        <w:t xml:space="preserve"> </w:t>
      </w:r>
      <w:r w:rsidR="00A43D2A" w:rsidRPr="00382904">
        <w:t xml:space="preserve">A recommendation to join the </w:t>
      </w:r>
      <w:r w:rsidR="00111061" w:rsidRPr="00382904">
        <w:t>G</w:t>
      </w:r>
      <w:r w:rsidR="00A43D2A" w:rsidRPr="00382904">
        <w:t>roup</w:t>
      </w:r>
      <w:r w:rsidR="00111061" w:rsidRPr="00382904">
        <w:t xml:space="preserve"> for 20</w:t>
      </w:r>
      <w:r w:rsidR="006C1819" w:rsidRPr="00382904">
        <w:t>2</w:t>
      </w:r>
      <w:r w:rsidR="00E1305D" w:rsidRPr="00382904">
        <w:t>1</w:t>
      </w:r>
      <w:r w:rsidR="00111061" w:rsidRPr="00382904">
        <w:t>/2</w:t>
      </w:r>
      <w:r w:rsidR="00E1305D" w:rsidRPr="00382904">
        <w:t>2</w:t>
      </w:r>
      <w:r w:rsidR="00A43D2A" w:rsidRPr="00382904">
        <w:t xml:space="preserve"> is part of this report. </w:t>
      </w:r>
    </w:p>
    <w:p w:rsidR="00B16E72" w:rsidRPr="00382904" w:rsidRDefault="002E7CD8" w:rsidP="00B80EBF">
      <w:pPr>
        <w:tabs>
          <w:tab w:val="left" w:pos="540"/>
        </w:tabs>
        <w:spacing w:after="120"/>
        <w:ind w:right="386"/>
        <w:rPr>
          <w:b/>
        </w:rPr>
      </w:pPr>
      <w:r w:rsidRPr="00382904">
        <w:rPr>
          <w:b/>
        </w:rPr>
        <w:lastRenderedPageBreak/>
        <w:t xml:space="preserve">New </w:t>
      </w:r>
      <w:r w:rsidR="00B16E72" w:rsidRPr="00382904">
        <w:rPr>
          <w:b/>
        </w:rPr>
        <w:t>Homes Bonus</w:t>
      </w:r>
      <w:r w:rsidR="00B8025B" w:rsidRPr="00382904">
        <w:rPr>
          <w:b/>
        </w:rPr>
        <w:t xml:space="preserve"> (NHB)</w:t>
      </w:r>
    </w:p>
    <w:p w:rsidR="006C1819" w:rsidRPr="00382904" w:rsidRDefault="00E1305D" w:rsidP="007E34DD">
      <w:pPr>
        <w:pStyle w:val="ListParagraph"/>
        <w:numPr>
          <w:ilvl w:val="0"/>
          <w:numId w:val="46"/>
        </w:numPr>
        <w:spacing w:after="120"/>
        <w:ind w:right="386" w:hanging="720"/>
        <w:rPr>
          <w:rStyle w:val="ilfuvd"/>
          <w:rFonts w:cs="Arial"/>
          <w:color w:val="222222"/>
        </w:rPr>
      </w:pPr>
      <w:r w:rsidRPr="00382904">
        <w:rPr>
          <w:rStyle w:val="ilfuvd"/>
          <w:rFonts w:cs="Arial"/>
          <w:color w:val="222222"/>
        </w:rPr>
        <w:t xml:space="preserve">In last financial year 2020-21 the Government </w:t>
      </w:r>
      <w:r w:rsidR="006C1819" w:rsidRPr="00382904">
        <w:rPr>
          <w:rStyle w:val="ilfuvd"/>
          <w:rFonts w:cs="Arial"/>
          <w:color w:val="222222"/>
        </w:rPr>
        <w:t>roll</w:t>
      </w:r>
      <w:r w:rsidRPr="00382904">
        <w:rPr>
          <w:rStyle w:val="ilfuvd"/>
          <w:rFonts w:cs="Arial"/>
          <w:color w:val="222222"/>
        </w:rPr>
        <w:t>ed</w:t>
      </w:r>
      <w:r w:rsidR="006C1819" w:rsidRPr="00382904">
        <w:rPr>
          <w:rStyle w:val="ilfuvd"/>
          <w:rFonts w:cs="Arial"/>
          <w:color w:val="222222"/>
        </w:rPr>
        <w:t>-forward New Homes Bonus payments. In addition to funding legacy payments associated with previous allocations, the Government ma</w:t>
      </w:r>
      <w:r w:rsidRPr="00382904">
        <w:rPr>
          <w:rStyle w:val="ilfuvd"/>
          <w:rFonts w:cs="Arial"/>
          <w:color w:val="222222"/>
        </w:rPr>
        <w:t>d</w:t>
      </w:r>
      <w:r w:rsidR="006C1819" w:rsidRPr="00382904">
        <w:rPr>
          <w:rStyle w:val="ilfuvd"/>
          <w:rFonts w:cs="Arial"/>
          <w:color w:val="222222"/>
        </w:rPr>
        <w:t>e a new round of allocations for 2020-</w:t>
      </w:r>
      <w:r w:rsidR="00344FF0" w:rsidRPr="00382904">
        <w:rPr>
          <w:rStyle w:val="ilfuvd"/>
          <w:rFonts w:cs="Arial"/>
          <w:color w:val="222222"/>
        </w:rPr>
        <w:t xml:space="preserve">21 although there </w:t>
      </w:r>
      <w:r w:rsidRPr="00382904">
        <w:rPr>
          <w:rStyle w:val="ilfuvd"/>
          <w:rFonts w:cs="Arial"/>
          <w:color w:val="222222"/>
        </w:rPr>
        <w:t>was</w:t>
      </w:r>
      <w:r w:rsidR="00344FF0" w:rsidRPr="00382904">
        <w:rPr>
          <w:rStyle w:val="ilfuvd"/>
          <w:rFonts w:cs="Arial"/>
          <w:color w:val="222222"/>
        </w:rPr>
        <w:t xml:space="preserve"> no </w:t>
      </w:r>
      <w:r w:rsidR="00672354" w:rsidRPr="00382904">
        <w:rPr>
          <w:rStyle w:val="ilfuvd"/>
          <w:rFonts w:cs="Arial"/>
          <w:color w:val="222222"/>
        </w:rPr>
        <w:t xml:space="preserve">repeat of the </w:t>
      </w:r>
      <w:r w:rsidR="00F04BA4">
        <w:rPr>
          <w:rStyle w:val="ilfuvd"/>
          <w:rFonts w:cs="Arial"/>
          <w:color w:val="222222"/>
        </w:rPr>
        <w:t>four</w:t>
      </w:r>
      <w:r w:rsidR="00344FF0" w:rsidRPr="00382904">
        <w:rPr>
          <w:rStyle w:val="ilfuvd"/>
          <w:rFonts w:cs="Arial"/>
          <w:color w:val="222222"/>
        </w:rPr>
        <w:t xml:space="preserve"> year legacy payments that exist</w:t>
      </w:r>
      <w:r w:rsidRPr="00382904">
        <w:rPr>
          <w:rStyle w:val="ilfuvd"/>
          <w:rFonts w:cs="Arial"/>
          <w:color w:val="222222"/>
        </w:rPr>
        <w:t>ed</w:t>
      </w:r>
      <w:r w:rsidR="00344FF0" w:rsidRPr="00382904">
        <w:rPr>
          <w:rStyle w:val="ilfuvd"/>
          <w:rFonts w:cs="Arial"/>
          <w:color w:val="222222"/>
        </w:rPr>
        <w:t xml:space="preserve"> under the </w:t>
      </w:r>
      <w:r w:rsidRPr="00382904">
        <w:rPr>
          <w:rStyle w:val="ilfuvd"/>
          <w:rFonts w:cs="Arial"/>
          <w:color w:val="222222"/>
        </w:rPr>
        <w:t xml:space="preserve">previous </w:t>
      </w:r>
      <w:r w:rsidR="00344FF0" w:rsidRPr="00382904">
        <w:rPr>
          <w:rStyle w:val="ilfuvd"/>
          <w:rFonts w:cs="Arial"/>
          <w:color w:val="222222"/>
        </w:rPr>
        <w:t>system</w:t>
      </w:r>
      <w:r w:rsidRPr="00382904">
        <w:rPr>
          <w:rStyle w:val="ilfuvd"/>
          <w:rFonts w:cs="Arial"/>
          <w:color w:val="222222"/>
        </w:rPr>
        <w:t xml:space="preserve"> and the NHB payment was limited to one year</w:t>
      </w:r>
      <w:r w:rsidR="00344FF0" w:rsidRPr="00382904">
        <w:rPr>
          <w:rStyle w:val="ilfuvd"/>
          <w:rFonts w:cs="Arial"/>
          <w:color w:val="222222"/>
        </w:rPr>
        <w:t>.</w:t>
      </w:r>
      <w:r w:rsidRPr="00382904">
        <w:rPr>
          <w:rStyle w:val="ilfuvd"/>
          <w:rFonts w:cs="Arial"/>
          <w:color w:val="222222"/>
        </w:rPr>
        <w:t xml:space="preserve"> For 2021-22 the Government has confirmed </w:t>
      </w:r>
      <w:r w:rsidR="00CD3E25">
        <w:rPr>
          <w:rStyle w:val="ilfuvd"/>
          <w:rFonts w:cs="Arial"/>
          <w:color w:val="222222"/>
        </w:rPr>
        <w:t>in their Spending Review</w:t>
      </w:r>
      <w:r w:rsidR="00F04BA4">
        <w:rPr>
          <w:rStyle w:val="ilfuvd"/>
          <w:rFonts w:cs="Arial"/>
          <w:color w:val="222222"/>
        </w:rPr>
        <w:t xml:space="preserve"> </w:t>
      </w:r>
      <w:r w:rsidR="00CD3E25">
        <w:rPr>
          <w:rStyle w:val="ilfuvd"/>
          <w:rFonts w:cs="Arial"/>
          <w:color w:val="222222"/>
        </w:rPr>
        <w:t>announcement that there will be one more year of New Homes Bonus before they consult on changes to the scheme in 2022-23</w:t>
      </w:r>
      <w:r w:rsidRPr="00382904">
        <w:rPr>
          <w:rStyle w:val="ilfuvd"/>
          <w:rFonts w:cs="Arial"/>
          <w:color w:val="222222"/>
        </w:rPr>
        <w:t xml:space="preserve">. </w:t>
      </w:r>
    </w:p>
    <w:p w:rsidR="00F35A62" w:rsidRPr="00382904" w:rsidRDefault="002E7CD8" w:rsidP="007E34DD">
      <w:pPr>
        <w:pStyle w:val="ListParagraph"/>
        <w:numPr>
          <w:ilvl w:val="0"/>
          <w:numId w:val="46"/>
        </w:numPr>
        <w:spacing w:after="120"/>
        <w:ind w:right="386" w:hanging="720"/>
      </w:pPr>
      <w:r w:rsidRPr="00382904">
        <w:t>T</w:t>
      </w:r>
      <w:r w:rsidR="00061569" w:rsidRPr="00382904">
        <w:t xml:space="preserve">he Council </w:t>
      </w:r>
      <w:r w:rsidR="00854EDB" w:rsidRPr="00382904">
        <w:t>uses</w:t>
      </w:r>
      <w:r w:rsidR="00061569" w:rsidRPr="00382904">
        <w:t xml:space="preserve"> New Homes Bonus to fund </w:t>
      </w:r>
      <w:r w:rsidR="00B8025B" w:rsidRPr="00382904">
        <w:t>its</w:t>
      </w:r>
      <w:r w:rsidR="00061569" w:rsidRPr="00382904">
        <w:t xml:space="preserve"> Capital Programme in order to de-risk the Medium Term Financial Strategy. In the event that the grant is lower than estimated or ceases altogether then a mitigating action could be to reduce the </w:t>
      </w:r>
      <w:r w:rsidR="00A71FFE" w:rsidRPr="00382904">
        <w:t>Capital</w:t>
      </w:r>
      <w:r w:rsidR="00391F91" w:rsidRPr="00382904">
        <w:t xml:space="preserve"> Programme.</w:t>
      </w:r>
    </w:p>
    <w:p w:rsidR="00DA445F" w:rsidRPr="00382904" w:rsidRDefault="00DA445F" w:rsidP="00942056">
      <w:pPr>
        <w:spacing w:after="120"/>
        <w:ind w:left="567" w:right="386" w:hanging="567"/>
        <w:jc w:val="both"/>
      </w:pPr>
    </w:p>
    <w:tbl>
      <w:tblPr>
        <w:tblW w:w="860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1470"/>
        <w:gridCol w:w="1470"/>
        <w:gridCol w:w="1470"/>
        <w:gridCol w:w="1470"/>
      </w:tblGrid>
      <w:tr w:rsidR="001F439F" w:rsidRPr="00382904" w:rsidTr="008E66A7">
        <w:tc>
          <w:tcPr>
            <w:tcW w:w="8603" w:type="dxa"/>
            <w:gridSpan w:val="5"/>
            <w:shd w:val="clear" w:color="auto" w:fill="BFBFBF" w:themeFill="background1" w:themeFillShade="BF"/>
          </w:tcPr>
          <w:p w:rsidR="001F439F" w:rsidRPr="00382904" w:rsidRDefault="001F439F" w:rsidP="00967143">
            <w:pPr>
              <w:spacing w:after="120"/>
              <w:ind w:right="386"/>
              <w:rPr>
                <w:b/>
              </w:rPr>
            </w:pPr>
            <w:r w:rsidRPr="00382904">
              <w:rPr>
                <w:b/>
              </w:rPr>
              <w:t xml:space="preserve">Table </w:t>
            </w:r>
            <w:r w:rsidR="00967143">
              <w:rPr>
                <w:b/>
              </w:rPr>
              <w:t>8</w:t>
            </w:r>
            <w:r w:rsidR="00DD0A73" w:rsidRPr="00382904">
              <w:rPr>
                <w:b/>
              </w:rPr>
              <w:t xml:space="preserve"> :</w:t>
            </w:r>
            <w:r w:rsidRPr="00382904">
              <w:rPr>
                <w:b/>
              </w:rPr>
              <w:t xml:space="preserve"> </w:t>
            </w:r>
            <w:r w:rsidR="00505BE0" w:rsidRPr="00382904">
              <w:rPr>
                <w:b/>
              </w:rPr>
              <w:t xml:space="preserve">Anticipated </w:t>
            </w:r>
            <w:r w:rsidRPr="00382904">
              <w:rPr>
                <w:b/>
              </w:rPr>
              <w:t>New Homes Bonus</w:t>
            </w:r>
          </w:p>
        </w:tc>
      </w:tr>
      <w:tr w:rsidR="006F0C2E" w:rsidRPr="00382904" w:rsidTr="008E66A7">
        <w:tc>
          <w:tcPr>
            <w:tcW w:w="2723" w:type="dxa"/>
            <w:shd w:val="clear" w:color="auto" w:fill="BFBFBF" w:themeFill="background1" w:themeFillShade="BF"/>
          </w:tcPr>
          <w:p w:rsidR="006F0C2E" w:rsidRPr="00382904" w:rsidRDefault="006F0C2E" w:rsidP="0096590F">
            <w:pPr>
              <w:spacing w:after="120"/>
              <w:ind w:right="386"/>
              <w:jc w:val="both"/>
            </w:pPr>
          </w:p>
        </w:tc>
        <w:tc>
          <w:tcPr>
            <w:tcW w:w="1470" w:type="dxa"/>
            <w:shd w:val="clear" w:color="auto" w:fill="BFBFBF" w:themeFill="background1" w:themeFillShade="BF"/>
          </w:tcPr>
          <w:p w:rsidR="006F0C2E" w:rsidRPr="00382904" w:rsidRDefault="006F0C2E" w:rsidP="00BE705E">
            <w:pPr>
              <w:spacing w:after="120"/>
              <w:jc w:val="center"/>
              <w:rPr>
                <w:b/>
              </w:rPr>
            </w:pPr>
            <w:r w:rsidRPr="00382904">
              <w:rPr>
                <w:b/>
              </w:rPr>
              <w:t>20</w:t>
            </w:r>
            <w:r w:rsidR="00344FF0" w:rsidRPr="00382904">
              <w:rPr>
                <w:b/>
              </w:rPr>
              <w:t>2</w:t>
            </w:r>
            <w:r w:rsidR="00382904" w:rsidRPr="00382904">
              <w:rPr>
                <w:b/>
              </w:rPr>
              <w:t>1</w:t>
            </w:r>
            <w:r w:rsidRPr="00382904">
              <w:rPr>
                <w:b/>
              </w:rPr>
              <w:t>/</w:t>
            </w:r>
            <w:r w:rsidR="006E18DB" w:rsidRPr="00382904">
              <w:rPr>
                <w:b/>
              </w:rPr>
              <w:t>2</w:t>
            </w:r>
            <w:r w:rsidR="00382904" w:rsidRPr="00382904">
              <w:rPr>
                <w:b/>
              </w:rPr>
              <w:t>2</w:t>
            </w:r>
          </w:p>
        </w:tc>
        <w:tc>
          <w:tcPr>
            <w:tcW w:w="1470" w:type="dxa"/>
            <w:shd w:val="clear" w:color="auto" w:fill="BFBFBF" w:themeFill="background1" w:themeFillShade="BF"/>
          </w:tcPr>
          <w:p w:rsidR="006F0C2E" w:rsidRPr="00382904" w:rsidRDefault="006F0C2E" w:rsidP="00BE705E">
            <w:pPr>
              <w:spacing w:after="120"/>
              <w:jc w:val="center"/>
              <w:rPr>
                <w:b/>
              </w:rPr>
            </w:pPr>
            <w:r w:rsidRPr="00382904">
              <w:rPr>
                <w:b/>
              </w:rPr>
              <w:t>20</w:t>
            </w:r>
            <w:r w:rsidR="006E18DB" w:rsidRPr="00382904">
              <w:rPr>
                <w:b/>
              </w:rPr>
              <w:t>2</w:t>
            </w:r>
            <w:r w:rsidR="00382904" w:rsidRPr="00382904">
              <w:rPr>
                <w:b/>
              </w:rPr>
              <w:t>2</w:t>
            </w:r>
            <w:r w:rsidRPr="00382904">
              <w:rPr>
                <w:b/>
              </w:rPr>
              <w:t>/2</w:t>
            </w:r>
            <w:r w:rsidR="00BE705E">
              <w:rPr>
                <w:b/>
              </w:rPr>
              <w:t>3</w:t>
            </w:r>
          </w:p>
        </w:tc>
        <w:tc>
          <w:tcPr>
            <w:tcW w:w="1470" w:type="dxa"/>
            <w:shd w:val="clear" w:color="auto" w:fill="BFBFBF" w:themeFill="background1" w:themeFillShade="BF"/>
          </w:tcPr>
          <w:p w:rsidR="006F0C2E" w:rsidRPr="00382904" w:rsidRDefault="006F0C2E" w:rsidP="00D93703">
            <w:pPr>
              <w:spacing w:after="120"/>
              <w:jc w:val="center"/>
              <w:rPr>
                <w:b/>
              </w:rPr>
            </w:pPr>
            <w:r w:rsidRPr="00382904">
              <w:rPr>
                <w:b/>
              </w:rPr>
              <w:t>202</w:t>
            </w:r>
            <w:r w:rsidR="00382904" w:rsidRPr="00382904">
              <w:rPr>
                <w:b/>
              </w:rPr>
              <w:t>3</w:t>
            </w:r>
            <w:r w:rsidRPr="00382904">
              <w:rPr>
                <w:b/>
              </w:rPr>
              <w:t>/2</w:t>
            </w:r>
            <w:r w:rsidR="00382904" w:rsidRPr="00382904">
              <w:rPr>
                <w:b/>
              </w:rPr>
              <w:t>4</w:t>
            </w:r>
          </w:p>
        </w:tc>
        <w:tc>
          <w:tcPr>
            <w:tcW w:w="1470" w:type="dxa"/>
            <w:shd w:val="clear" w:color="auto" w:fill="BFBFBF" w:themeFill="background1" w:themeFillShade="BF"/>
          </w:tcPr>
          <w:p w:rsidR="006F0C2E" w:rsidRPr="00382904" w:rsidRDefault="006F0C2E" w:rsidP="00D93703">
            <w:pPr>
              <w:spacing w:after="120"/>
              <w:jc w:val="center"/>
              <w:rPr>
                <w:b/>
              </w:rPr>
            </w:pPr>
            <w:r w:rsidRPr="00382904">
              <w:rPr>
                <w:b/>
              </w:rPr>
              <w:t>202</w:t>
            </w:r>
            <w:r w:rsidR="00382904" w:rsidRPr="00382904">
              <w:rPr>
                <w:b/>
              </w:rPr>
              <w:t>4</w:t>
            </w:r>
            <w:r w:rsidRPr="00382904">
              <w:rPr>
                <w:b/>
              </w:rPr>
              <w:t>/2</w:t>
            </w:r>
            <w:r w:rsidR="00382904" w:rsidRPr="00382904">
              <w:rPr>
                <w:b/>
              </w:rPr>
              <w:t>5</w:t>
            </w:r>
          </w:p>
        </w:tc>
      </w:tr>
      <w:tr w:rsidR="006F0C2E" w:rsidRPr="00382904" w:rsidTr="008E66A7">
        <w:tc>
          <w:tcPr>
            <w:tcW w:w="2723" w:type="dxa"/>
            <w:shd w:val="clear" w:color="auto" w:fill="BFBFBF" w:themeFill="background1" w:themeFillShade="BF"/>
          </w:tcPr>
          <w:p w:rsidR="006F0C2E" w:rsidRPr="00382904" w:rsidRDefault="006F0C2E" w:rsidP="0096590F">
            <w:pPr>
              <w:spacing w:after="120"/>
              <w:ind w:right="386"/>
              <w:jc w:val="both"/>
            </w:pPr>
          </w:p>
        </w:tc>
        <w:tc>
          <w:tcPr>
            <w:tcW w:w="1470" w:type="dxa"/>
            <w:shd w:val="clear" w:color="auto" w:fill="BFBFBF" w:themeFill="background1" w:themeFillShade="BF"/>
          </w:tcPr>
          <w:p w:rsidR="006F0C2E" w:rsidRPr="00382904" w:rsidRDefault="006F0C2E" w:rsidP="00D93703">
            <w:pPr>
              <w:jc w:val="center"/>
              <w:rPr>
                <w:b/>
              </w:rPr>
            </w:pPr>
            <w:r w:rsidRPr="00382904">
              <w:rPr>
                <w:b/>
              </w:rPr>
              <w:t>£000’s</w:t>
            </w:r>
          </w:p>
        </w:tc>
        <w:tc>
          <w:tcPr>
            <w:tcW w:w="1470" w:type="dxa"/>
            <w:shd w:val="clear" w:color="auto" w:fill="BFBFBF" w:themeFill="background1" w:themeFillShade="BF"/>
          </w:tcPr>
          <w:p w:rsidR="006F0C2E" w:rsidRPr="00382904" w:rsidRDefault="006F0C2E" w:rsidP="00D93703">
            <w:pPr>
              <w:jc w:val="center"/>
              <w:rPr>
                <w:b/>
              </w:rPr>
            </w:pPr>
            <w:r w:rsidRPr="00382904">
              <w:rPr>
                <w:b/>
              </w:rPr>
              <w:t>£000’s</w:t>
            </w:r>
          </w:p>
        </w:tc>
        <w:tc>
          <w:tcPr>
            <w:tcW w:w="1470" w:type="dxa"/>
            <w:shd w:val="clear" w:color="auto" w:fill="BFBFBF" w:themeFill="background1" w:themeFillShade="BF"/>
          </w:tcPr>
          <w:p w:rsidR="006F0C2E" w:rsidRPr="00382904" w:rsidRDefault="006F0C2E" w:rsidP="00D93703">
            <w:pPr>
              <w:jc w:val="center"/>
              <w:rPr>
                <w:b/>
              </w:rPr>
            </w:pPr>
            <w:r w:rsidRPr="00382904">
              <w:rPr>
                <w:b/>
              </w:rPr>
              <w:t>£000’s</w:t>
            </w:r>
          </w:p>
        </w:tc>
        <w:tc>
          <w:tcPr>
            <w:tcW w:w="1470" w:type="dxa"/>
            <w:shd w:val="clear" w:color="auto" w:fill="BFBFBF" w:themeFill="background1" w:themeFillShade="BF"/>
          </w:tcPr>
          <w:p w:rsidR="006F0C2E" w:rsidRPr="00382904" w:rsidRDefault="006F0C2E" w:rsidP="00D93703">
            <w:pPr>
              <w:jc w:val="center"/>
              <w:rPr>
                <w:b/>
              </w:rPr>
            </w:pPr>
            <w:r w:rsidRPr="00382904">
              <w:rPr>
                <w:b/>
              </w:rPr>
              <w:t>£000’s</w:t>
            </w:r>
          </w:p>
        </w:tc>
      </w:tr>
      <w:tr w:rsidR="006F0C2E" w:rsidRPr="00382904" w:rsidTr="00942056">
        <w:tc>
          <w:tcPr>
            <w:tcW w:w="2723" w:type="dxa"/>
            <w:shd w:val="clear" w:color="auto" w:fill="auto"/>
          </w:tcPr>
          <w:p w:rsidR="006F0C2E" w:rsidRPr="00382904" w:rsidRDefault="006F0C2E" w:rsidP="0096590F">
            <w:pPr>
              <w:spacing w:after="120"/>
              <w:ind w:right="386"/>
              <w:jc w:val="both"/>
            </w:pPr>
            <w:r w:rsidRPr="00382904">
              <w:t>New Homes Bonus</w:t>
            </w:r>
          </w:p>
        </w:tc>
        <w:tc>
          <w:tcPr>
            <w:tcW w:w="1470" w:type="dxa"/>
            <w:shd w:val="clear" w:color="auto" w:fill="auto"/>
          </w:tcPr>
          <w:p w:rsidR="006F0C2E" w:rsidRPr="00382904" w:rsidRDefault="00382904" w:rsidP="00D93703">
            <w:pPr>
              <w:spacing w:after="120"/>
              <w:jc w:val="center"/>
            </w:pPr>
            <w:r w:rsidRPr="00382904">
              <w:t>515</w:t>
            </w:r>
          </w:p>
        </w:tc>
        <w:tc>
          <w:tcPr>
            <w:tcW w:w="1470" w:type="dxa"/>
            <w:shd w:val="clear" w:color="auto" w:fill="auto"/>
          </w:tcPr>
          <w:p w:rsidR="006F0C2E" w:rsidRPr="00382904" w:rsidRDefault="00382904" w:rsidP="00D93703">
            <w:pPr>
              <w:spacing w:after="120"/>
              <w:ind w:right="-7"/>
              <w:jc w:val="center"/>
            </w:pPr>
            <w:r w:rsidRPr="00382904">
              <w:t>106</w:t>
            </w:r>
          </w:p>
        </w:tc>
        <w:tc>
          <w:tcPr>
            <w:tcW w:w="1470" w:type="dxa"/>
            <w:shd w:val="clear" w:color="auto" w:fill="auto"/>
          </w:tcPr>
          <w:p w:rsidR="006F0C2E" w:rsidRPr="00382904" w:rsidRDefault="00382904" w:rsidP="00D93703">
            <w:pPr>
              <w:spacing w:after="120"/>
              <w:jc w:val="center"/>
            </w:pPr>
            <w:r w:rsidRPr="00382904">
              <w:t>-</w:t>
            </w:r>
          </w:p>
        </w:tc>
        <w:tc>
          <w:tcPr>
            <w:tcW w:w="1470" w:type="dxa"/>
            <w:shd w:val="clear" w:color="auto" w:fill="auto"/>
          </w:tcPr>
          <w:p w:rsidR="006F0C2E" w:rsidRPr="00382904" w:rsidRDefault="00382904" w:rsidP="00D93703">
            <w:pPr>
              <w:spacing w:after="120"/>
              <w:jc w:val="center"/>
            </w:pPr>
            <w:r w:rsidRPr="00382904">
              <w:t>-</w:t>
            </w:r>
          </w:p>
        </w:tc>
      </w:tr>
      <w:tr w:rsidR="006F0C2E" w:rsidRPr="00000222" w:rsidTr="00942056">
        <w:tc>
          <w:tcPr>
            <w:tcW w:w="2723" w:type="dxa"/>
            <w:shd w:val="clear" w:color="auto" w:fill="auto"/>
          </w:tcPr>
          <w:p w:rsidR="006F0C2E" w:rsidRPr="00382904" w:rsidRDefault="006F0C2E" w:rsidP="0096590F">
            <w:pPr>
              <w:spacing w:after="120"/>
              <w:ind w:right="386"/>
              <w:jc w:val="both"/>
            </w:pPr>
            <w:r w:rsidRPr="00382904">
              <w:t>Percentage increase/(decrease)</w:t>
            </w:r>
          </w:p>
        </w:tc>
        <w:tc>
          <w:tcPr>
            <w:tcW w:w="1470" w:type="dxa"/>
            <w:shd w:val="clear" w:color="auto" w:fill="auto"/>
          </w:tcPr>
          <w:p w:rsidR="006F0C2E" w:rsidRPr="00382904" w:rsidRDefault="00382904" w:rsidP="00D93703">
            <w:pPr>
              <w:spacing w:after="120"/>
              <w:jc w:val="center"/>
            </w:pPr>
            <w:r w:rsidRPr="00382904">
              <w:t>(15)</w:t>
            </w:r>
          </w:p>
        </w:tc>
        <w:tc>
          <w:tcPr>
            <w:tcW w:w="1470" w:type="dxa"/>
            <w:shd w:val="clear" w:color="auto" w:fill="auto"/>
          </w:tcPr>
          <w:p w:rsidR="006F0C2E" w:rsidRPr="00382904" w:rsidRDefault="00382904" w:rsidP="00D93703">
            <w:pPr>
              <w:spacing w:after="120"/>
              <w:ind w:right="-7"/>
              <w:jc w:val="center"/>
            </w:pPr>
            <w:r w:rsidRPr="00382904">
              <w:t>(79)</w:t>
            </w:r>
          </w:p>
        </w:tc>
        <w:tc>
          <w:tcPr>
            <w:tcW w:w="1470" w:type="dxa"/>
            <w:shd w:val="clear" w:color="auto" w:fill="auto"/>
          </w:tcPr>
          <w:p w:rsidR="006F0C2E" w:rsidRPr="00382904" w:rsidRDefault="00382904" w:rsidP="00D93703">
            <w:pPr>
              <w:spacing w:after="120"/>
              <w:jc w:val="center"/>
            </w:pPr>
            <w:r w:rsidRPr="00382904">
              <w:t>-</w:t>
            </w:r>
          </w:p>
        </w:tc>
        <w:tc>
          <w:tcPr>
            <w:tcW w:w="1470" w:type="dxa"/>
            <w:shd w:val="clear" w:color="auto" w:fill="auto"/>
          </w:tcPr>
          <w:p w:rsidR="006F0C2E" w:rsidRPr="00382904" w:rsidRDefault="00382904" w:rsidP="00D93703">
            <w:pPr>
              <w:spacing w:after="120"/>
              <w:jc w:val="center"/>
            </w:pPr>
            <w:r w:rsidRPr="00382904">
              <w:t>-</w:t>
            </w:r>
          </w:p>
        </w:tc>
      </w:tr>
    </w:tbl>
    <w:p w:rsidR="007B4842" w:rsidRPr="00000222" w:rsidRDefault="007B4842" w:rsidP="00113275">
      <w:pPr>
        <w:ind w:left="720" w:hanging="153"/>
        <w:rPr>
          <w:b/>
          <w:color w:val="000000"/>
          <w:highlight w:val="yellow"/>
        </w:rPr>
      </w:pPr>
    </w:p>
    <w:p w:rsidR="00382904" w:rsidRPr="00731C9C" w:rsidRDefault="00350FB5" w:rsidP="00382904">
      <w:pPr>
        <w:pStyle w:val="NormalWeb"/>
        <w:rPr>
          <w:rFonts w:ascii="Arial" w:hAnsi="Arial" w:cs="Arial"/>
          <w:b/>
          <w:lang w:val="en"/>
        </w:rPr>
      </w:pPr>
      <w:r>
        <w:rPr>
          <w:rFonts w:ascii="Arial" w:hAnsi="Arial" w:cs="Arial"/>
          <w:b/>
          <w:lang w:val="en"/>
        </w:rPr>
        <w:t>C</w:t>
      </w:r>
      <w:r w:rsidR="00382904" w:rsidRPr="00731C9C">
        <w:rPr>
          <w:rFonts w:ascii="Arial" w:hAnsi="Arial" w:cs="Arial"/>
          <w:b/>
          <w:lang w:val="en"/>
        </w:rPr>
        <w:t xml:space="preserve">orporate Planning </w:t>
      </w:r>
      <w:r w:rsidR="00C37005" w:rsidRPr="00731C9C">
        <w:rPr>
          <w:rFonts w:ascii="Arial" w:hAnsi="Arial" w:cs="Arial"/>
          <w:b/>
          <w:lang w:val="en"/>
        </w:rPr>
        <w:t>Assumptions</w:t>
      </w:r>
    </w:p>
    <w:p w:rsidR="00382904" w:rsidRPr="00731C9C" w:rsidRDefault="00382904" w:rsidP="007E34DD">
      <w:pPr>
        <w:numPr>
          <w:ilvl w:val="0"/>
          <w:numId w:val="46"/>
        </w:numPr>
        <w:spacing w:after="120"/>
        <w:ind w:hanging="720"/>
        <w:rPr>
          <w:rFonts w:cs="Arial"/>
          <w:color w:val="000000"/>
        </w:rPr>
      </w:pPr>
      <w:r w:rsidRPr="00CD6E68">
        <w:rPr>
          <w:b/>
        </w:rPr>
        <w:t>Council Tax Increase</w:t>
      </w:r>
      <w:r w:rsidRPr="00CD6E68">
        <w:t xml:space="preserve"> – </w:t>
      </w:r>
      <w:r w:rsidR="00731C9C" w:rsidRPr="00CD6E68">
        <w:t xml:space="preserve">Assuming local authorities are able to increase council tax in line with previous years referendum principles outlined in paragraph </w:t>
      </w:r>
      <w:r w:rsidR="003B7B8D" w:rsidRPr="00CD6E68">
        <w:t>11 (d)</w:t>
      </w:r>
      <w:r w:rsidR="00731C9C" w:rsidRPr="00CD6E68">
        <w:t xml:space="preserve"> above</w:t>
      </w:r>
      <w:r w:rsidR="00731C9C" w:rsidRPr="00731C9C">
        <w:t xml:space="preserve"> then the </w:t>
      </w:r>
      <w:r w:rsidRPr="00731C9C">
        <w:t xml:space="preserve">current assumption is for a 1.99% rise in </w:t>
      </w:r>
      <w:r w:rsidR="00731C9C" w:rsidRPr="00731C9C">
        <w:t xml:space="preserve">council tax for </w:t>
      </w:r>
      <w:r w:rsidRPr="00731C9C">
        <w:t>202</w:t>
      </w:r>
      <w:r w:rsidR="00731C9C" w:rsidRPr="00731C9C">
        <w:t>1</w:t>
      </w:r>
      <w:r w:rsidRPr="00731C9C">
        <w:t>-2</w:t>
      </w:r>
      <w:r w:rsidR="00731C9C" w:rsidRPr="00731C9C">
        <w:t>2</w:t>
      </w:r>
      <w:r w:rsidRPr="00731C9C">
        <w:t xml:space="preserve"> and beyond</w:t>
      </w:r>
      <w:r w:rsidR="007850C0">
        <w:t xml:space="preserve">. These principles </w:t>
      </w:r>
      <w:r w:rsidR="0081760A">
        <w:t xml:space="preserve">have since been confirmed in the </w:t>
      </w:r>
      <w:r w:rsidR="00731C9C" w:rsidRPr="00731C9C">
        <w:t>S</w:t>
      </w:r>
      <w:r w:rsidRPr="00731C9C">
        <w:t xml:space="preserve">pending Review </w:t>
      </w:r>
      <w:r w:rsidR="0081760A">
        <w:t>announcement by the chancellor on 25</w:t>
      </w:r>
      <w:r w:rsidR="0081760A" w:rsidRPr="0081760A">
        <w:rPr>
          <w:vertAlign w:val="superscript"/>
        </w:rPr>
        <w:t>th</w:t>
      </w:r>
      <w:r w:rsidR="0081760A">
        <w:t xml:space="preserve"> November</w:t>
      </w:r>
      <w:r w:rsidR="00F04BA4">
        <w:t xml:space="preserve"> 2020</w:t>
      </w:r>
      <w:r w:rsidRPr="00731C9C">
        <w:t xml:space="preserve">. At this level under current proposals no referendum will be required. </w:t>
      </w:r>
    </w:p>
    <w:p w:rsidR="00382904" w:rsidRPr="00913671" w:rsidRDefault="00382904" w:rsidP="007E34DD">
      <w:pPr>
        <w:numPr>
          <w:ilvl w:val="0"/>
          <w:numId w:val="46"/>
        </w:numPr>
        <w:tabs>
          <w:tab w:val="left" w:pos="2160"/>
        </w:tabs>
        <w:spacing w:after="120"/>
        <w:ind w:hanging="720"/>
        <w:rPr>
          <w:rFonts w:cs="Arial"/>
          <w:color w:val="000000"/>
        </w:rPr>
      </w:pPr>
      <w:r w:rsidRPr="00913671">
        <w:rPr>
          <w:b/>
          <w:color w:val="000000"/>
        </w:rPr>
        <w:t>Investment Interest</w:t>
      </w:r>
      <w:r w:rsidRPr="00913671">
        <w:rPr>
          <w:color w:val="000000"/>
        </w:rPr>
        <w:t xml:space="preserve"> – The Bank of England base rate is 0.</w:t>
      </w:r>
      <w:r w:rsidR="00913671" w:rsidRPr="00913671">
        <w:rPr>
          <w:color w:val="000000"/>
        </w:rPr>
        <w:t>10</w:t>
      </w:r>
      <w:r w:rsidRPr="00913671">
        <w:rPr>
          <w:color w:val="000000"/>
        </w:rPr>
        <w:t xml:space="preserve">% with </w:t>
      </w:r>
      <w:r w:rsidR="00913671" w:rsidRPr="00913671">
        <w:rPr>
          <w:color w:val="000000"/>
        </w:rPr>
        <w:t xml:space="preserve">no change in this </w:t>
      </w:r>
      <w:r w:rsidRPr="00913671">
        <w:rPr>
          <w:color w:val="000000"/>
        </w:rPr>
        <w:t xml:space="preserve">predicted in the </w:t>
      </w:r>
      <w:r w:rsidR="00913671" w:rsidRPr="00913671">
        <w:rPr>
          <w:color w:val="000000"/>
        </w:rPr>
        <w:t xml:space="preserve">foreseeable </w:t>
      </w:r>
      <w:r w:rsidRPr="00913671">
        <w:rPr>
          <w:color w:val="000000"/>
        </w:rPr>
        <w:t xml:space="preserve">future. </w:t>
      </w:r>
      <w:r w:rsidR="00913671" w:rsidRPr="00913671">
        <w:rPr>
          <w:color w:val="000000"/>
        </w:rPr>
        <w:t>Returns from banks and building societies are likely to be depressed for some time to come mainly as a result of this reduced rate but also as the Council spends reserves to cover the deficits arising from COVID</w:t>
      </w:r>
      <w:r w:rsidR="00CD5621">
        <w:rPr>
          <w:color w:val="000000"/>
        </w:rPr>
        <w:t xml:space="preserve"> 19</w:t>
      </w:r>
      <w:r w:rsidR="00913671" w:rsidRPr="00913671">
        <w:rPr>
          <w:color w:val="000000"/>
        </w:rPr>
        <w:t xml:space="preserve">. The Council still has investments in joint ventures and companies more details of which are outlined below and officers are seeking to find alternative financial vehicles where the rates of return are higher when balanced against </w:t>
      </w:r>
      <w:r w:rsidR="00F04BA4">
        <w:rPr>
          <w:color w:val="000000"/>
        </w:rPr>
        <w:t>the Council’s</w:t>
      </w:r>
      <w:r w:rsidR="00913671" w:rsidRPr="00913671">
        <w:rPr>
          <w:color w:val="000000"/>
        </w:rPr>
        <w:t xml:space="preserve"> need for liquidity. Other </w:t>
      </w:r>
      <w:r w:rsidRPr="00913671">
        <w:rPr>
          <w:color w:val="000000"/>
        </w:rPr>
        <w:t xml:space="preserve">investments </w:t>
      </w:r>
      <w:r w:rsidR="00913671" w:rsidRPr="00913671">
        <w:rPr>
          <w:color w:val="000000"/>
        </w:rPr>
        <w:t>include</w:t>
      </w:r>
      <w:r w:rsidRPr="00913671">
        <w:rPr>
          <w:color w:val="000000"/>
        </w:rPr>
        <w:t>:</w:t>
      </w:r>
    </w:p>
    <w:p w:rsidR="00913671" w:rsidRPr="00913671" w:rsidRDefault="00382904" w:rsidP="007E34DD">
      <w:pPr>
        <w:numPr>
          <w:ilvl w:val="0"/>
          <w:numId w:val="17"/>
        </w:numPr>
        <w:tabs>
          <w:tab w:val="left" w:pos="2160"/>
          <w:tab w:val="num" w:pos="5509"/>
        </w:tabs>
        <w:spacing w:after="120"/>
        <w:rPr>
          <w:rFonts w:cs="Arial"/>
          <w:color w:val="000000"/>
        </w:rPr>
      </w:pPr>
      <w:r w:rsidRPr="00913671">
        <w:rPr>
          <w:b/>
          <w:color w:val="000000"/>
        </w:rPr>
        <w:t>External</w:t>
      </w:r>
      <w:r w:rsidR="0045646F">
        <w:rPr>
          <w:b/>
          <w:color w:val="000000"/>
        </w:rPr>
        <w:t>ly</w:t>
      </w:r>
      <w:r w:rsidRPr="00913671">
        <w:rPr>
          <w:b/>
          <w:color w:val="000000"/>
        </w:rPr>
        <w:t xml:space="preserve"> Managed Property Investments </w:t>
      </w:r>
      <w:r w:rsidRPr="00913671">
        <w:rPr>
          <w:rFonts w:cs="Arial"/>
          <w:color w:val="000000"/>
        </w:rPr>
        <w:t xml:space="preserve">– The Council has £10 million invested in two funds. The Council makes a return of around 3.5% plus any increase in the capital value. </w:t>
      </w:r>
      <w:r w:rsidR="00913671" w:rsidRPr="00913671">
        <w:rPr>
          <w:rFonts w:cs="Arial"/>
          <w:color w:val="000000"/>
        </w:rPr>
        <w:t>Whilst the value of these funds di</w:t>
      </w:r>
      <w:r w:rsidR="00F04BA4">
        <w:rPr>
          <w:rFonts w:cs="Arial"/>
          <w:color w:val="000000"/>
        </w:rPr>
        <w:t>d</w:t>
      </w:r>
      <w:r w:rsidR="00913671" w:rsidRPr="00913671">
        <w:rPr>
          <w:rFonts w:cs="Arial"/>
          <w:color w:val="000000"/>
        </w:rPr>
        <w:t xml:space="preserve"> decrease in the early weeks of the pandemic these seem now to be picking up. Since March </w:t>
      </w:r>
      <w:r w:rsidR="00F04BA4">
        <w:rPr>
          <w:rFonts w:cs="Arial"/>
          <w:color w:val="000000"/>
        </w:rPr>
        <w:t>2020 t</w:t>
      </w:r>
      <w:r w:rsidR="00913671" w:rsidRPr="00913671">
        <w:rPr>
          <w:rFonts w:cs="Arial"/>
          <w:color w:val="000000"/>
        </w:rPr>
        <w:t>he revenue return ha</w:t>
      </w:r>
      <w:r w:rsidR="00F04BA4">
        <w:rPr>
          <w:rFonts w:cs="Arial"/>
          <w:color w:val="000000"/>
        </w:rPr>
        <w:t>s</w:t>
      </w:r>
      <w:r w:rsidR="00913671" w:rsidRPr="00913671">
        <w:rPr>
          <w:rFonts w:cs="Arial"/>
          <w:color w:val="000000"/>
        </w:rPr>
        <w:t xml:space="preserve"> held up mainly due to occupancy rates from the non-retail property held in the funds remaining high </w:t>
      </w:r>
    </w:p>
    <w:p w:rsidR="00382904" w:rsidRPr="009E73F2" w:rsidRDefault="00382904" w:rsidP="007E34DD">
      <w:pPr>
        <w:numPr>
          <w:ilvl w:val="0"/>
          <w:numId w:val="17"/>
        </w:numPr>
        <w:tabs>
          <w:tab w:val="left" w:pos="2160"/>
          <w:tab w:val="num" w:pos="5509"/>
        </w:tabs>
        <w:spacing w:after="120"/>
        <w:rPr>
          <w:rFonts w:cs="Arial"/>
          <w:color w:val="000000"/>
        </w:rPr>
      </w:pPr>
      <w:proofErr w:type="spellStart"/>
      <w:r w:rsidRPr="009E73F2">
        <w:rPr>
          <w:b/>
          <w:color w:val="000000"/>
        </w:rPr>
        <w:lastRenderedPageBreak/>
        <w:t>OxWed</w:t>
      </w:r>
      <w:proofErr w:type="spellEnd"/>
      <w:r w:rsidRPr="009E73F2">
        <w:rPr>
          <w:b/>
          <w:color w:val="000000"/>
        </w:rPr>
        <w:t xml:space="preserve"> Development </w:t>
      </w:r>
      <w:r w:rsidRPr="009E73F2">
        <w:rPr>
          <w:rFonts w:cs="Arial"/>
          <w:color w:val="000000"/>
        </w:rPr>
        <w:t xml:space="preserve">– The Council has made loans of approximately £10.6 million into its 50/50 Joint venture with Nuffield College which attracts a return of 6.5% per annum. </w:t>
      </w:r>
      <w:r w:rsidR="00913671" w:rsidRPr="009E73F2">
        <w:rPr>
          <w:rFonts w:cs="Arial"/>
          <w:color w:val="000000"/>
        </w:rPr>
        <w:t>Since the Joint Venture has yet to make a surplus this interest is accrued rather than paid. At this point the total of accrued interest is £</w:t>
      </w:r>
      <w:r w:rsidR="009E73F2" w:rsidRPr="009E73F2">
        <w:rPr>
          <w:rFonts w:cs="Arial"/>
          <w:color w:val="000000"/>
        </w:rPr>
        <w:t>2.2 million w</w:t>
      </w:r>
      <w:r w:rsidR="00913671" w:rsidRPr="009E73F2">
        <w:rPr>
          <w:rFonts w:cs="Arial"/>
          <w:color w:val="000000"/>
        </w:rPr>
        <w:t>ith a further £</w:t>
      </w:r>
      <w:r w:rsidR="009E73F2" w:rsidRPr="009E73F2">
        <w:rPr>
          <w:rFonts w:cs="Arial"/>
          <w:color w:val="000000"/>
        </w:rPr>
        <w:t>2.1 million o</w:t>
      </w:r>
      <w:r w:rsidR="00913671" w:rsidRPr="009E73F2">
        <w:rPr>
          <w:rFonts w:cs="Arial"/>
          <w:color w:val="000000"/>
        </w:rPr>
        <w:t xml:space="preserve">f interest expected over the life of the </w:t>
      </w:r>
      <w:r w:rsidR="00603CCF">
        <w:rPr>
          <w:rFonts w:cs="Arial"/>
          <w:color w:val="000000"/>
        </w:rPr>
        <w:t>MTFS</w:t>
      </w:r>
      <w:r w:rsidR="00171330" w:rsidRPr="009E73F2">
        <w:rPr>
          <w:rFonts w:cs="Arial"/>
          <w:color w:val="000000"/>
        </w:rPr>
        <w:t xml:space="preserve">. </w:t>
      </w:r>
    </w:p>
    <w:p w:rsidR="00BF0C29" w:rsidRPr="00BF0C29" w:rsidRDefault="00382904" w:rsidP="007E34DD">
      <w:pPr>
        <w:numPr>
          <w:ilvl w:val="0"/>
          <w:numId w:val="17"/>
        </w:numPr>
        <w:spacing w:after="120"/>
        <w:ind w:right="386"/>
        <w:rPr>
          <w:rFonts w:cs="Arial"/>
        </w:rPr>
      </w:pPr>
      <w:r w:rsidRPr="00D642B4">
        <w:rPr>
          <w:b/>
          <w:color w:val="000000"/>
        </w:rPr>
        <w:t xml:space="preserve">Housing Company </w:t>
      </w:r>
      <w:r w:rsidRPr="00D642B4">
        <w:rPr>
          <w:rFonts w:cs="Arial"/>
          <w:color w:val="000000"/>
        </w:rPr>
        <w:t>– The Council provides state aid compliant loans to its wholly owned company Oxford City Housing Ltd and makes a return above that which it borrows from PWLB. The margi</w:t>
      </w:r>
      <w:r w:rsidR="00D642B4" w:rsidRPr="00D642B4">
        <w:rPr>
          <w:rFonts w:cs="Arial"/>
          <w:color w:val="000000"/>
        </w:rPr>
        <w:t xml:space="preserve">nal return is currently 2.20% although there is a case to increase this margin to reflect the increased risk to the council in the current pandemic. The Council is also agreeable for its HRA to make stage payments to finance the ongoing housing developments and increase the financial resilience of the company. More details on the impact of these changes is given below in </w:t>
      </w:r>
      <w:r w:rsidR="00D642B4" w:rsidRPr="00CD6E68">
        <w:rPr>
          <w:rFonts w:cs="Arial"/>
          <w:color w:val="000000"/>
        </w:rPr>
        <w:t>paragraph</w:t>
      </w:r>
      <w:r w:rsidR="003B7B8D" w:rsidRPr="00CD6E68">
        <w:rPr>
          <w:rFonts w:cs="Arial"/>
          <w:color w:val="000000"/>
        </w:rPr>
        <w:t>s 6</w:t>
      </w:r>
      <w:r w:rsidR="00BF76DF">
        <w:rPr>
          <w:rFonts w:cs="Arial"/>
          <w:color w:val="000000"/>
        </w:rPr>
        <w:t>7</w:t>
      </w:r>
      <w:r w:rsidR="003B7B8D" w:rsidRPr="00CD6E68">
        <w:rPr>
          <w:rFonts w:cs="Arial"/>
          <w:color w:val="000000"/>
        </w:rPr>
        <w:t>-</w:t>
      </w:r>
      <w:r w:rsidR="00CD6E68" w:rsidRPr="00CD6E68">
        <w:rPr>
          <w:rFonts w:cs="Arial"/>
          <w:color w:val="000000"/>
        </w:rPr>
        <w:t>7</w:t>
      </w:r>
      <w:r w:rsidR="00BF76DF">
        <w:rPr>
          <w:rFonts w:cs="Arial"/>
          <w:color w:val="000000"/>
        </w:rPr>
        <w:t>2</w:t>
      </w:r>
      <w:r w:rsidRPr="00CD6E68">
        <w:rPr>
          <w:rFonts w:cs="Arial"/>
          <w:color w:val="000000"/>
        </w:rPr>
        <w:t xml:space="preserve">    </w:t>
      </w:r>
    </w:p>
    <w:p w:rsidR="00382904" w:rsidRPr="000B6EF3" w:rsidRDefault="00382904" w:rsidP="007E34DD">
      <w:pPr>
        <w:pStyle w:val="ListParagraph"/>
        <w:numPr>
          <w:ilvl w:val="0"/>
          <w:numId w:val="47"/>
        </w:numPr>
        <w:spacing w:after="120"/>
        <w:ind w:left="709" w:right="386" w:hanging="709"/>
        <w:rPr>
          <w:rFonts w:cs="Arial"/>
        </w:rPr>
      </w:pPr>
      <w:r w:rsidRPr="00BF0C29">
        <w:rPr>
          <w:rFonts w:cs="Arial"/>
          <w:b/>
        </w:rPr>
        <w:t>Inflation</w:t>
      </w:r>
      <w:r w:rsidRPr="00BF0C29">
        <w:rPr>
          <w:rFonts w:cs="Arial"/>
        </w:rPr>
        <w:t xml:space="preserve"> –Most budgets are cash limi</w:t>
      </w:r>
      <w:r w:rsidR="00603CCF">
        <w:rPr>
          <w:rFonts w:cs="Arial"/>
        </w:rPr>
        <w:t>ted. Over the period of the MTFS</w:t>
      </w:r>
      <w:r w:rsidRPr="00BF0C29">
        <w:rPr>
          <w:rFonts w:cs="Arial"/>
        </w:rPr>
        <w:t xml:space="preserve">, CPI is expected to increase to </w:t>
      </w:r>
      <w:r w:rsidR="00731C9C" w:rsidRPr="00BF0C29">
        <w:rPr>
          <w:rFonts w:cs="Arial"/>
        </w:rPr>
        <w:t>between 2-</w:t>
      </w:r>
      <w:r w:rsidRPr="00BF0C29">
        <w:rPr>
          <w:rFonts w:cs="Arial"/>
        </w:rPr>
        <w:t>3%</w:t>
      </w:r>
      <w:r w:rsidR="00603CCF">
        <w:rPr>
          <w:rFonts w:cs="Arial"/>
        </w:rPr>
        <w:t xml:space="preserve"> over the period of the MTFS</w:t>
      </w:r>
      <w:r w:rsidR="00731C9C" w:rsidRPr="00BF0C29">
        <w:rPr>
          <w:rFonts w:cs="Arial"/>
        </w:rPr>
        <w:t xml:space="preserve"> </w:t>
      </w:r>
      <w:r w:rsidRPr="00BF0C29">
        <w:rPr>
          <w:rFonts w:cs="Arial"/>
        </w:rPr>
        <w:t xml:space="preserve">which could squeeze budgets harder. </w:t>
      </w:r>
      <w:r w:rsidR="00171330" w:rsidRPr="00BF0C29">
        <w:rPr>
          <w:rFonts w:cs="Arial"/>
        </w:rPr>
        <w:t>To allow for inflation t</w:t>
      </w:r>
      <w:r w:rsidRPr="00BF0C29">
        <w:rPr>
          <w:rFonts w:cs="Arial"/>
        </w:rPr>
        <w:t>he base budget has been increased by an amount of £</w:t>
      </w:r>
      <w:r w:rsidR="00171330" w:rsidRPr="00BF0C29">
        <w:rPr>
          <w:rFonts w:cs="Arial"/>
        </w:rPr>
        <w:t>90</w:t>
      </w:r>
      <w:r w:rsidRPr="00BF0C29">
        <w:rPr>
          <w:rFonts w:cs="Arial"/>
        </w:rPr>
        <w:t>k by 202</w:t>
      </w:r>
      <w:r w:rsidR="00171330" w:rsidRPr="00BF0C29">
        <w:rPr>
          <w:rFonts w:cs="Arial"/>
        </w:rPr>
        <w:t>4</w:t>
      </w:r>
      <w:r w:rsidRPr="00BF0C29">
        <w:rPr>
          <w:rFonts w:cs="Arial"/>
        </w:rPr>
        <w:t>-2</w:t>
      </w:r>
      <w:r w:rsidR="00171330" w:rsidRPr="00BF0C29">
        <w:rPr>
          <w:rFonts w:cs="Arial"/>
        </w:rPr>
        <w:t>5</w:t>
      </w:r>
      <w:r w:rsidRPr="00BF0C29">
        <w:rPr>
          <w:rFonts w:cs="Arial"/>
        </w:rPr>
        <w:t xml:space="preserve">, mostly in ICT relating to software </w:t>
      </w:r>
      <w:r w:rsidRPr="000B6EF3">
        <w:rPr>
          <w:rFonts w:cs="Arial"/>
        </w:rPr>
        <w:t xml:space="preserve">licence increases </w:t>
      </w:r>
    </w:p>
    <w:p w:rsidR="00382904" w:rsidRPr="000B6EF3" w:rsidRDefault="00382904" w:rsidP="007E34DD">
      <w:pPr>
        <w:pStyle w:val="ListParagraph"/>
        <w:numPr>
          <w:ilvl w:val="0"/>
          <w:numId w:val="47"/>
        </w:numPr>
        <w:spacing w:after="120"/>
        <w:ind w:left="709" w:right="386" w:hanging="709"/>
        <w:rPr>
          <w:rFonts w:cs="Arial"/>
        </w:rPr>
      </w:pPr>
      <w:r w:rsidRPr="000B6EF3">
        <w:rPr>
          <w:rFonts w:cs="Arial"/>
          <w:b/>
        </w:rPr>
        <w:t>Pay Assumptions</w:t>
      </w:r>
      <w:r w:rsidRPr="000B6EF3">
        <w:rPr>
          <w:rFonts w:cs="Arial"/>
        </w:rPr>
        <w:t xml:space="preserve"> – </w:t>
      </w:r>
      <w:r w:rsidR="00731C9C" w:rsidRPr="000B6EF3">
        <w:rPr>
          <w:rFonts w:cs="Arial"/>
        </w:rPr>
        <w:t xml:space="preserve">The </w:t>
      </w:r>
      <w:r w:rsidR="00171330" w:rsidRPr="000B6EF3">
        <w:rPr>
          <w:rFonts w:cs="Arial"/>
        </w:rPr>
        <w:t>financial</w:t>
      </w:r>
      <w:r w:rsidR="00731C9C" w:rsidRPr="000B6EF3">
        <w:rPr>
          <w:rFonts w:cs="Arial"/>
        </w:rPr>
        <w:t xml:space="preserve"> year </w:t>
      </w:r>
      <w:r w:rsidRPr="000B6EF3">
        <w:rPr>
          <w:rFonts w:cs="Arial"/>
        </w:rPr>
        <w:t>2020</w:t>
      </w:r>
      <w:r w:rsidR="00731C9C" w:rsidRPr="000B6EF3">
        <w:rPr>
          <w:rFonts w:cs="Arial"/>
        </w:rPr>
        <w:t>/21</w:t>
      </w:r>
      <w:r w:rsidRPr="000B6EF3">
        <w:rPr>
          <w:rFonts w:cs="Arial"/>
        </w:rPr>
        <w:t xml:space="preserve"> is the final year of a three year </w:t>
      </w:r>
      <w:r w:rsidR="00F04BA4">
        <w:rPr>
          <w:rFonts w:cs="Arial"/>
        </w:rPr>
        <w:t xml:space="preserve">local </w:t>
      </w:r>
      <w:r w:rsidRPr="000B6EF3">
        <w:rPr>
          <w:rFonts w:cs="Arial"/>
        </w:rPr>
        <w:t xml:space="preserve">pay agreement. The </w:t>
      </w:r>
      <w:r w:rsidR="00171330" w:rsidRPr="000B6EF3">
        <w:rPr>
          <w:rFonts w:cs="Arial"/>
        </w:rPr>
        <w:t xml:space="preserve">existing </w:t>
      </w:r>
      <w:r w:rsidRPr="000B6EF3">
        <w:rPr>
          <w:rFonts w:cs="Arial"/>
        </w:rPr>
        <w:t>agreement allow</w:t>
      </w:r>
      <w:r w:rsidR="00731C9C" w:rsidRPr="000B6EF3">
        <w:rPr>
          <w:rFonts w:cs="Arial"/>
        </w:rPr>
        <w:t>ed</w:t>
      </w:r>
      <w:r w:rsidRPr="000B6EF3">
        <w:rPr>
          <w:rFonts w:cs="Arial"/>
        </w:rPr>
        <w:t xml:space="preserve"> for increases based on the higher of 1.25% or £500 in April of each year </w:t>
      </w:r>
      <w:r w:rsidR="00BC431C" w:rsidRPr="000B6EF3">
        <w:rPr>
          <w:rFonts w:cs="Arial"/>
        </w:rPr>
        <w:t>and included a</w:t>
      </w:r>
      <w:r w:rsidRPr="000B6EF3">
        <w:rPr>
          <w:rFonts w:cs="Arial"/>
        </w:rPr>
        <w:t xml:space="preserve">n incremental increase in October 2019. </w:t>
      </w:r>
      <w:r w:rsidR="00171330" w:rsidRPr="000B6EF3">
        <w:rPr>
          <w:rFonts w:cs="Arial"/>
        </w:rPr>
        <w:t xml:space="preserve">Given the material impact of COVID 19 on the Council finances </w:t>
      </w:r>
      <w:r w:rsidR="00BC431C" w:rsidRPr="000B6EF3">
        <w:rPr>
          <w:rFonts w:cs="Arial"/>
        </w:rPr>
        <w:t xml:space="preserve">the </w:t>
      </w:r>
      <w:r w:rsidR="0045646F">
        <w:rPr>
          <w:rFonts w:cs="Arial"/>
        </w:rPr>
        <w:t>City Council remains in negotiations with its staff trade unions to find a further agreement which recognises the efforts of staff during the pandemic but also the financial pressures which are placed upon the Council, and the shared desire to minimise any redundancies.</w:t>
      </w:r>
    </w:p>
    <w:p w:rsidR="00382904" w:rsidRPr="00F44ED8" w:rsidRDefault="00382904" w:rsidP="007E34DD">
      <w:pPr>
        <w:numPr>
          <w:ilvl w:val="0"/>
          <w:numId w:val="47"/>
        </w:numPr>
        <w:spacing w:after="120"/>
        <w:ind w:left="709" w:right="386" w:hanging="709"/>
        <w:rPr>
          <w:rFonts w:cs="Arial"/>
        </w:rPr>
      </w:pPr>
      <w:r w:rsidRPr="00F44ED8">
        <w:rPr>
          <w:rFonts w:cs="Arial"/>
          <w:b/>
        </w:rPr>
        <w:t>Pensions</w:t>
      </w:r>
      <w:r w:rsidRPr="00F44ED8">
        <w:rPr>
          <w:rFonts w:cs="Arial"/>
        </w:rPr>
        <w:t xml:space="preserve"> - The Medium Term Financial Strategy includes an increase from the current contribution in line with pay inflation increases. The next triennial review will be with effect from 1</w:t>
      </w:r>
      <w:r w:rsidRPr="00F44ED8">
        <w:rPr>
          <w:rFonts w:cs="Arial"/>
          <w:vertAlign w:val="superscript"/>
        </w:rPr>
        <w:t>ST</w:t>
      </w:r>
      <w:r w:rsidRPr="00F44ED8">
        <w:rPr>
          <w:rFonts w:cs="Arial"/>
        </w:rPr>
        <w:t xml:space="preserve"> April 202</w:t>
      </w:r>
      <w:r w:rsidR="00F44ED8" w:rsidRPr="00F44ED8">
        <w:rPr>
          <w:rFonts w:cs="Arial"/>
        </w:rPr>
        <w:t>3</w:t>
      </w:r>
      <w:r w:rsidRPr="00F44ED8">
        <w:rPr>
          <w:rFonts w:cs="Arial"/>
        </w:rPr>
        <w:t xml:space="preserve">.  </w:t>
      </w:r>
      <w:r w:rsidR="00F44ED8" w:rsidRPr="00F44ED8">
        <w:rPr>
          <w:rFonts w:cs="Arial"/>
        </w:rPr>
        <w:t xml:space="preserve">Last year the Council made </w:t>
      </w:r>
      <w:r w:rsidR="00603CCF">
        <w:rPr>
          <w:rFonts w:cs="Arial"/>
        </w:rPr>
        <w:t>Provision within the MTFS</w:t>
      </w:r>
      <w:r w:rsidRPr="00F44ED8">
        <w:rPr>
          <w:rFonts w:cs="Arial"/>
        </w:rPr>
        <w:t xml:space="preserve"> for a prepayment into the pension fund of £5million in 202</w:t>
      </w:r>
      <w:r w:rsidR="00F44ED8" w:rsidRPr="00F44ED8">
        <w:rPr>
          <w:rFonts w:cs="Arial"/>
        </w:rPr>
        <w:t>0</w:t>
      </w:r>
      <w:r w:rsidRPr="00F44ED8">
        <w:rPr>
          <w:rFonts w:cs="Arial"/>
        </w:rPr>
        <w:t>-2</w:t>
      </w:r>
      <w:r w:rsidR="00F44ED8" w:rsidRPr="00F44ED8">
        <w:rPr>
          <w:rFonts w:cs="Arial"/>
        </w:rPr>
        <w:t>1</w:t>
      </w:r>
      <w:r w:rsidRPr="00F44ED8">
        <w:rPr>
          <w:rFonts w:cs="Arial"/>
        </w:rPr>
        <w:t xml:space="preserve">. The prepayment reduces the employer’s contribution rate for all employees in the fund both within the City Council and ODS for a period of </w:t>
      </w:r>
      <w:r w:rsidR="003425F0">
        <w:rPr>
          <w:rFonts w:cs="Arial"/>
        </w:rPr>
        <w:t>three</w:t>
      </w:r>
      <w:r w:rsidRPr="00F44ED8">
        <w:rPr>
          <w:rFonts w:cs="Arial"/>
        </w:rPr>
        <w:t xml:space="preserve"> years with the contribution rate reverting to the standard rate at the end of the period. The initiative reduces expenditure by approximately £</w:t>
      </w:r>
      <w:r w:rsidR="00F44ED8" w:rsidRPr="00F44ED8">
        <w:rPr>
          <w:rFonts w:cs="Arial"/>
        </w:rPr>
        <w:t xml:space="preserve">1.2 </w:t>
      </w:r>
      <w:r w:rsidRPr="00F44ED8">
        <w:rPr>
          <w:rFonts w:cs="Arial"/>
        </w:rPr>
        <w:t xml:space="preserve">million over the </w:t>
      </w:r>
      <w:r w:rsidR="003425F0">
        <w:rPr>
          <w:rFonts w:cs="Arial"/>
        </w:rPr>
        <w:t>three</w:t>
      </w:r>
      <w:r w:rsidRPr="00F44ED8">
        <w:rPr>
          <w:rFonts w:cs="Arial"/>
        </w:rPr>
        <w:t xml:space="preserve"> year period as well as returning £4million of the prepayment back to the Council for use in subsequent years.</w:t>
      </w:r>
      <w:r w:rsidR="00F44ED8" w:rsidRPr="00F44ED8">
        <w:rPr>
          <w:rFonts w:cs="Arial"/>
        </w:rPr>
        <w:t xml:space="preserve"> This level of saving has been assumed for future years although the actual amount of saving will be determined by the actuary when they undertake their next tri-</w:t>
      </w:r>
      <w:proofErr w:type="spellStart"/>
      <w:r w:rsidR="00F44ED8" w:rsidRPr="00F44ED8">
        <w:rPr>
          <w:rFonts w:cs="Arial"/>
        </w:rPr>
        <w:t>enniel</w:t>
      </w:r>
      <w:proofErr w:type="spellEnd"/>
      <w:r w:rsidR="00F44ED8" w:rsidRPr="00F44ED8">
        <w:rPr>
          <w:rFonts w:cs="Arial"/>
        </w:rPr>
        <w:t xml:space="preserve"> review of the pension fund in 2023/24</w:t>
      </w:r>
    </w:p>
    <w:p w:rsidR="00382904" w:rsidRPr="00EF73F6" w:rsidRDefault="00382904" w:rsidP="007E34DD">
      <w:pPr>
        <w:pStyle w:val="ListParagraph"/>
        <w:numPr>
          <w:ilvl w:val="0"/>
          <w:numId w:val="47"/>
        </w:numPr>
        <w:spacing w:after="120"/>
        <w:ind w:left="709" w:right="386" w:hanging="709"/>
      </w:pPr>
      <w:r w:rsidRPr="00EF73F6">
        <w:rPr>
          <w:b/>
        </w:rPr>
        <w:t>Capital Financing</w:t>
      </w:r>
      <w:r w:rsidRPr="00EF73F6">
        <w:t xml:space="preserve"> - Capital financing for the draft Capital Programme is detailed in Section D. The four year Medium Term Financial Strategy assumes £</w:t>
      </w:r>
      <w:r w:rsidR="00EF73F6" w:rsidRPr="00EF73F6">
        <w:t>7 m</w:t>
      </w:r>
      <w:r w:rsidRPr="00EF73F6">
        <w:t>illion of revenue contributions will be made to finance vehicle replacements and ICT software and hardware over the period together with income arising from New Homes Bonus estimated at around £</w:t>
      </w:r>
      <w:r w:rsidR="00EF73F6" w:rsidRPr="00EF73F6">
        <w:t>0.6</w:t>
      </w:r>
      <w:r w:rsidRPr="00EF73F6">
        <w:t xml:space="preserve"> million over the </w:t>
      </w:r>
      <w:r w:rsidR="003425F0">
        <w:t>four</w:t>
      </w:r>
      <w:r w:rsidRPr="00EF73F6">
        <w:t xml:space="preserve"> years.</w:t>
      </w:r>
    </w:p>
    <w:p w:rsidR="00382904" w:rsidRPr="00D642B4" w:rsidRDefault="00382904" w:rsidP="007E34DD">
      <w:pPr>
        <w:pStyle w:val="ListParagraph"/>
        <w:numPr>
          <w:ilvl w:val="0"/>
          <w:numId w:val="47"/>
        </w:numPr>
        <w:spacing w:after="120"/>
        <w:ind w:left="709" w:right="386" w:hanging="709"/>
      </w:pPr>
      <w:r w:rsidRPr="00D642B4">
        <w:rPr>
          <w:b/>
        </w:rPr>
        <w:t xml:space="preserve">Planned Repairs and Maintenance </w:t>
      </w:r>
      <w:r w:rsidRPr="00D642B4">
        <w:t xml:space="preserve">– £2 million per annum for planned maintenance to Corporate Buildings. The Council is currently seeking to undertake condition surveys on all its properties which will result in the </w:t>
      </w:r>
      <w:r w:rsidRPr="00D642B4">
        <w:lastRenderedPageBreak/>
        <w:t>re</w:t>
      </w:r>
      <w:r w:rsidR="00D642B4">
        <w:t>quirement for additional works for which some provision should be made in its budget for capital financing.</w:t>
      </w:r>
    </w:p>
    <w:p w:rsidR="00382904" w:rsidRDefault="00382904" w:rsidP="007E34DD">
      <w:pPr>
        <w:pStyle w:val="ListParagraph"/>
        <w:numPr>
          <w:ilvl w:val="0"/>
          <w:numId w:val="47"/>
        </w:numPr>
        <w:tabs>
          <w:tab w:val="left" w:pos="2160"/>
        </w:tabs>
        <w:spacing w:after="120"/>
        <w:ind w:left="709" w:right="386" w:hanging="709"/>
      </w:pPr>
      <w:r w:rsidRPr="0088155D">
        <w:rPr>
          <w:b/>
        </w:rPr>
        <w:t xml:space="preserve">Contingencies </w:t>
      </w:r>
      <w:r w:rsidRPr="0088155D">
        <w:t xml:space="preserve">– </w:t>
      </w:r>
      <w:r w:rsidR="0088155D" w:rsidRPr="0088155D">
        <w:t>Provision has been made for contingencies to cover unachieved efficiencies and other risks of around</w:t>
      </w:r>
      <w:r w:rsidR="00603CCF">
        <w:t xml:space="preserve"> £500k per annum across the MTFS</w:t>
      </w:r>
      <w:r w:rsidR="0088155D" w:rsidRPr="0088155D">
        <w:t xml:space="preserve">. </w:t>
      </w:r>
      <w:r w:rsidRPr="0088155D">
        <w:t>The Council has had a good track record of delivering within budget over the past few years and contingencies held against high risk savings have usually been underspent. There are significant increases in income, especially arising from dividends from ODS</w:t>
      </w:r>
      <w:r w:rsidR="0088155D" w:rsidRPr="0088155D">
        <w:t>.</w:t>
      </w:r>
      <w:r w:rsidRPr="0088155D">
        <w:t xml:space="preserve">  </w:t>
      </w:r>
      <w:r w:rsidR="003425F0">
        <w:t>Since</w:t>
      </w:r>
      <w:r w:rsidRPr="0088155D">
        <w:t xml:space="preserve"> 2019 </w:t>
      </w:r>
      <w:r w:rsidR="003425F0">
        <w:t>t</w:t>
      </w:r>
      <w:r w:rsidRPr="0088155D">
        <w:t>he amount of such contingencies is not prescri</w:t>
      </w:r>
      <w:r w:rsidR="003425F0">
        <w:t>b</w:t>
      </w:r>
      <w:r w:rsidRPr="0088155D">
        <w:t>e</w:t>
      </w:r>
      <w:r w:rsidR="003425F0">
        <w:t>d</w:t>
      </w:r>
      <w:r w:rsidRPr="0088155D">
        <w:t xml:space="preserve"> and is now made on judgement taking account of the risk and the levels of reserves and balances. </w:t>
      </w:r>
    </w:p>
    <w:p w:rsidR="00F350A8" w:rsidRPr="000C3B15" w:rsidRDefault="00AB75FC" w:rsidP="007E34DD">
      <w:pPr>
        <w:pStyle w:val="ListParagraph"/>
        <w:numPr>
          <w:ilvl w:val="0"/>
          <w:numId w:val="47"/>
        </w:numPr>
        <w:tabs>
          <w:tab w:val="left" w:pos="2160"/>
        </w:tabs>
        <w:spacing w:after="120"/>
        <w:ind w:left="709" w:right="386" w:hanging="709"/>
      </w:pPr>
      <w:r w:rsidRPr="00AB75FC">
        <w:rPr>
          <w:b/>
        </w:rPr>
        <w:t>Neighbourhood Community Infrastructure Levy (NCIL</w:t>
      </w:r>
      <w:proofErr w:type="gramStart"/>
      <w:r w:rsidRPr="00AB75FC">
        <w:rPr>
          <w:b/>
        </w:rPr>
        <w:t>)-</w:t>
      </w:r>
      <w:proofErr w:type="gramEnd"/>
      <w:r w:rsidRPr="00AB75FC">
        <w:rPr>
          <w:b/>
        </w:rPr>
        <w:t xml:space="preserve"> </w:t>
      </w:r>
      <w:r w:rsidR="00F350A8" w:rsidRPr="000C3B15">
        <w:t xml:space="preserve">In line with CIL regulations 15% of CIL received in </w:t>
      </w:r>
      <w:r w:rsidR="00F350A8" w:rsidRPr="00471265">
        <w:t xml:space="preserve">unparished areas of the city, which do not have an adopted neighbourhood plan, are retained by the city council for allocation. This money is for the provision, improvement, replacement, operation or maintenance of infrastructure; or anything else that is concerned with addressing the demands that development places on an area. </w:t>
      </w:r>
      <w:r w:rsidR="00F350A8">
        <w:t>The City Council</w:t>
      </w:r>
      <w:r w:rsidR="00F350A8" w:rsidRPr="000C3B15">
        <w:t xml:space="preserve"> currently allocate £5,000 annually to ward </w:t>
      </w:r>
      <w:r w:rsidR="00F350A8">
        <w:t xml:space="preserve">councillors </w:t>
      </w:r>
      <w:r w:rsidR="00F350A8" w:rsidRPr="000C3B15">
        <w:t xml:space="preserve">not within a parish or neighbourhood plan area. The ward councillors then allocate this </w:t>
      </w:r>
      <w:r w:rsidR="00F350A8">
        <w:t xml:space="preserve">on projects that they identify through ongoing engagement with their communities. </w:t>
      </w:r>
      <w:r w:rsidR="00F350A8" w:rsidRPr="000C3B15">
        <w:t xml:space="preserve">This </w:t>
      </w:r>
      <w:r w:rsidR="00F350A8">
        <w:t xml:space="preserve">approach and </w:t>
      </w:r>
      <w:r w:rsidR="00F350A8" w:rsidRPr="000C3B15">
        <w:t xml:space="preserve">allocation will continue.  In addition, </w:t>
      </w:r>
      <w:r w:rsidR="00F350A8">
        <w:t>we are consulting as part of this</w:t>
      </w:r>
      <w:r w:rsidR="00F350A8" w:rsidRPr="000C3B15">
        <w:t xml:space="preserve"> budget, </w:t>
      </w:r>
      <w:r w:rsidR="00F350A8">
        <w:t xml:space="preserve">on </w:t>
      </w:r>
      <w:r w:rsidR="00F350A8" w:rsidRPr="000C3B15">
        <w:t>a further allocation</w:t>
      </w:r>
      <w:r w:rsidR="00F350A8">
        <w:t xml:space="preserve"> of NCIL</w:t>
      </w:r>
      <w:r w:rsidR="00F350A8" w:rsidRPr="000C3B15">
        <w:t xml:space="preserve">. The </w:t>
      </w:r>
      <w:r w:rsidR="00F350A8" w:rsidRPr="00471265">
        <w:t xml:space="preserve">proposal is to use around £1million of NCIL towards important community projects over the MTFS period. </w:t>
      </w:r>
      <w:r w:rsidR="00F350A8">
        <w:t>The projects and initiatives selected are citywide in nature and are considered to reflect local priorities for Oxford.</w:t>
      </w:r>
      <w:r w:rsidR="00F350A8" w:rsidRPr="000C3B15">
        <w:t xml:space="preserve"> The projects and activities suggested to be supported from this funding source include:</w:t>
      </w:r>
    </w:p>
    <w:p w:rsidR="00F350A8" w:rsidRPr="008462B4" w:rsidRDefault="00F350A8" w:rsidP="007E34DD">
      <w:pPr>
        <w:pStyle w:val="ListParagraph"/>
        <w:numPr>
          <w:ilvl w:val="0"/>
          <w:numId w:val="38"/>
        </w:numPr>
        <w:spacing w:after="160" w:line="259" w:lineRule="auto"/>
        <w:ind w:left="1134"/>
        <w:contextualSpacing/>
      </w:pPr>
      <w:r w:rsidRPr="008462B4">
        <w:t>Young People</w:t>
      </w:r>
      <w:r w:rsidR="00AA2A1B">
        <w:t>’</w:t>
      </w:r>
      <w:r w:rsidRPr="008462B4">
        <w:t>s Pathway Contribution</w:t>
      </w:r>
      <w:r>
        <w:t>;</w:t>
      </w:r>
      <w:r w:rsidRPr="008462B4">
        <w:t xml:space="preserve"> </w:t>
      </w:r>
    </w:p>
    <w:p w:rsidR="00F350A8" w:rsidRPr="008462B4" w:rsidRDefault="00F350A8" w:rsidP="007E34DD">
      <w:pPr>
        <w:pStyle w:val="ListParagraph"/>
        <w:numPr>
          <w:ilvl w:val="0"/>
          <w:numId w:val="38"/>
        </w:numPr>
        <w:spacing w:after="160" w:line="259" w:lineRule="auto"/>
        <w:ind w:left="1134"/>
        <w:contextualSpacing/>
      </w:pPr>
      <w:r w:rsidRPr="008462B4">
        <w:t>Actions from the Citizens Assembly Climate emergency including engagement in the Retrofit Summit, Youth Summit, ZCO Summit and additional biodiversity work</w:t>
      </w:r>
      <w:r>
        <w:t>;</w:t>
      </w:r>
    </w:p>
    <w:p w:rsidR="00F350A8" w:rsidRPr="008462B4" w:rsidRDefault="00F350A8" w:rsidP="007E34DD">
      <w:pPr>
        <w:pStyle w:val="ListParagraph"/>
        <w:numPr>
          <w:ilvl w:val="0"/>
          <w:numId w:val="38"/>
        </w:numPr>
        <w:spacing w:after="160" w:line="259" w:lineRule="auto"/>
        <w:ind w:left="1134"/>
        <w:contextualSpacing/>
      </w:pPr>
      <w:r w:rsidRPr="008462B4">
        <w:t>Tackling homelessness</w:t>
      </w:r>
      <w:r>
        <w:t>;</w:t>
      </w:r>
    </w:p>
    <w:p w:rsidR="00F350A8" w:rsidRPr="008462B4" w:rsidRDefault="00F350A8" w:rsidP="007E34DD">
      <w:pPr>
        <w:pStyle w:val="ListParagraph"/>
        <w:numPr>
          <w:ilvl w:val="0"/>
          <w:numId w:val="38"/>
        </w:numPr>
        <w:spacing w:after="160" w:line="259" w:lineRule="auto"/>
        <w:ind w:left="1134"/>
        <w:contextualSpacing/>
      </w:pPr>
      <w:r w:rsidRPr="008462B4">
        <w:t>Social Impact Bonds - deliver targeted support for children &amp; young people via a social impact bond</w:t>
      </w:r>
      <w:r>
        <w:t>;</w:t>
      </w:r>
    </w:p>
    <w:p w:rsidR="00F350A8" w:rsidRPr="008462B4" w:rsidRDefault="00F350A8" w:rsidP="007E34DD">
      <w:pPr>
        <w:pStyle w:val="ListParagraph"/>
        <w:numPr>
          <w:ilvl w:val="0"/>
          <w:numId w:val="38"/>
        </w:numPr>
        <w:spacing w:after="160" w:line="259" w:lineRule="auto"/>
        <w:ind w:left="1134"/>
        <w:contextualSpacing/>
      </w:pPr>
      <w:r w:rsidRPr="008462B4">
        <w:t>Funding for the Community Grants programme</w:t>
      </w:r>
      <w:r>
        <w:t>;</w:t>
      </w:r>
    </w:p>
    <w:p w:rsidR="00F350A8" w:rsidRPr="008462B4" w:rsidRDefault="00F350A8" w:rsidP="007E34DD">
      <w:pPr>
        <w:pStyle w:val="ListParagraph"/>
        <w:numPr>
          <w:ilvl w:val="0"/>
          <w:numId w:val="38"/>
        </w:numPr>
        <w:spacing w:after="160" w:line="259" w:lineRule="auto"/>
        <w:ind w:left="1134"/>
        <w:contextualSpacing/>
      </w:pPr>
      <w:r w:rsidRPr="008462B4">
        <w:t>Engagement in transport initiatives across Oxford including Connecting Oxford and Zero Emission Zone</w:t>
      </w:r>
      <w:r>
        <w:t>; and</w:t>
      </w:r>
      <w:r w:rsidRPr="008462B4">
        <w:t xml:space="preserve"> </w:t>
      </w:r>
    </w:p>
    <w:p w:rsidR="00F350A8" w:rsidRPr="008462B4" w:rsidRDefault="00F350A8" w:rsidP="007E34DD">
      <w:pPr>
        <w:pStyle w:val="ListParagraph"/>
        <w:numPr>
          <w:ilvl w:val="0"/>
          <w:numId w:val="38"/>
        </w:numPr>
        <w:spacing w:after="160" w:line="259" w:lineRule="auto"/>
        <w:ind w:left="1134"/>
        <w:contextualSpacing/>
      </w:pPr>
      <w:r w:rsidRPr="008462B4">
        <w:t>Support for city restart and economic recovery activity</w:t>
      </w:r>
      <w:r>
        <w:t>.</w:t>
      </w:r>
    </w:p>
    <w:p w:rsidR="000A487D" w:rsidRDefault="000A487D" w:rsidP="000A487D">
      <w:pPr>
        <w:pStyle w:val="ListParagraph"/>
        <w:tabs>
          <w:tab w:val="left" w:pos="2160"/>
        </w:tabs>
        <w:spacing w:after="120"/>
        <w:ind w:left="709" w:right="386"/>
      </w:pPr>
    </w:p>
    <w:p w:rsidR="00CA6784" w:rsidRPr="00EF73F6" w:rsidRDefault="004C7192" w:rsidP="00CB2E55">
      <w:pPr>
        <w:ind w:left="567" w:right="386" w:hanging="567"/>
        <w:rPr>
          <w:rFonts w:cs="Arial"/>
          <w:b/>
        </w:rPr>
      </w:pPr>
      <w:r w:rsidRPr="00EF73F6">
        <w:rPr>
          <w:rFonts w:cs="Arial"/>
          <w:b/>
        </w:rPr>
        <w:t>Efficiencies</w:t>
      </w:r>
    </w:p>
    <w:p w:rsidR="00B976BC" w:rsidRPr="00EF73F6" w:rsidRDefault="00B976BC" w:rsidP="00CB2E55">
      <w:pPr>
        <w:ind w:left="567" w:right="386" w:hanging="567"/>
        <w:rPr>
          <w:rFonts w:cs="Arial"/>
          <w:b/>
        </w:rPr>
      </w:pPr>
    </w:p>
    <w:p w:rsidR="005F15AB" w:rsidRPr="00EF73F6" w:rsidRDefault="00B976BC" w:rsidP="007E34DD">
      <w:pPr>
        <w:pStyle w:val="ListParagraph"/>
        <w:numPr>
          <w:ilvl w:val="0"/>
          <w:numId w:val="47"/>
        </w:numPr>
        <w:tabs>
          <w:tab w:val="left" w:pos="1134"/>
        </w:tabs>
        <w:ind w:left="993" w:right="386" w:hanging="993"/>
        <w:rPr>
          <w:rFonts w:cs="Arial"/>
        </w:rPr>
      </w:pPr>
      <w:r w:rsidRPr="00EF73F6">
        <w:rPr>
          <w:rFonts w:cs="Arial"/>
        </w:rPr>
        <w:t>Efficiencies</w:t>
      </w:r>
      <w:r w:rsidR="005F15AB" w:rsidRPr="00EF73F6">
        <w:rPr>
          <w:rFonts w:cs="Arial"/>
        </w:rPr>
        <w:t xml:space="preserve"> totalling </w:t>
      </w:r>
      <w:r w:rsidR="00315255" w:rsidRPr="00EF73F6">
        <w:rPr>
          <w:rFonts w:cs="Arial"/>
        </w:rPr>
        <w:t>£</w:t>
      </w:r>
      <w:r w:rsidR="00EF73F6" w:rsidRPr="00EF73F6">
        <w:rPr>
          <w:rFonts w:cs="Arial"/>
        </w:rPr>
        <w:t>9.5</w:t>
      </w:r>
      <w:r w:rsidR="00315255" w:rsidRPr="00EF73F6">
        <w:rPr>
          <w:rFonts w:cs="Arial"/>
        </w:rPr>
        <w:t xml:space="preserve"> million</w:t>
      </w:r>
      <w:r w:rsidR="005F15AB" w:rsidRPr="00EF73F6">
        <w:rPr>
          <w:rFonts w:cs="Arial"/>
        </w:rPr>
        <w:t xml:space="preserve"> are estimated for the </w:t>
      </w:r>
      <w:r w:rsidR="003425F0">
        <w:rPr>
          <w:rFonts w:cs="Arial"/>
        </w:rPr>
        <w:t>four</w:t>
      </w:r>
      <w:r w:rsidR="005F15AB" w:rsidRPr="00EF73F6">
        <w:rPr>
          <w:rFonts w:cs="Arial"/>
        </w:rPr>
        <w:t xml:space="preserve"> year period </w:t>
      </w:r>
      <w:r w:rsidR="00EF73F6" w:rsidRPr="00EF73F6">
        <w:rPr>
          <w:rFonts w:cs="Arial"/>
        </w:rPr>
        <w:t xml:space="preserve">with  £2.7 million ongoing from 2024-25 </w:t>
      </w:r>
      <w:r w:rsidR="005F15AB" w:rsidRPr="00EF73F6">
        <w:rPr>
          <w:rFonts w:cs="Arial"/>
        </w:rPr>
        <w:t>including :</w:t>
      </w:r>
    </w:p>
    <w:p w:rsidR="00B80EBF" w:rsidRPr="00350FB5" w:rsidRDefault="00B80EBF" w:rsidP="00CB2E55">
      <w:pPr>
        <w:ind w:left="567" w:right="386" w:hanging="567"/>
        <w:rPr>
          <w:rFonts w:cs="Arial"/>
          <w:b/>
        </w:rPr>
      </w:pPr>
    </w:p>
    <w:p w:rsidR="00A46F1B" w:rsidRDefault="00A46F1B" w:rsidP="007E34DD">
      <w:pPr>
        <w:pStyle w:val="ListParagraph"/>
        <w:numPr>
          <w:ilvl w:val="0"/>
          <w:numId w:val="18"/>
        </w:numPr>
        <w:ind w:right="386"/>
        <w:rPr>
          <w:rFonts w:cs="Arial"/>
        </w:rPr>
      </w:pPr>
      <w:r w:rsidRPr="00A46F1B">
        <w:rPr>
          <w:rFonts w:cs="Arial"/>
          <w:b/>
        </w:rPr>
        <w:t>Going cashless</w:t>
      </w:r>
      <w:r>
        <w:rPr>
          <w:rFonts w:cs="Arial"/>
        </w:rPr>
        <w:t xml:space="preserve"> – The pandemic has changed the way that </w:t>
      </w:r>
      <w:r w:rsidR="003425F0">
        <w:rPr>
          <w:rFonts w:cs="Arial"/>
        </w:rPr>
        <w:t>people</w:t>
      </w:r>
      <w:r>
        <w:rPr>
          <w:rFonts w:cs="Arial"/>
        </w:rPr>
        <w:t xml:space="preserve"> pay for goods and services. Most retail outlets now only accept payment by card leading to a reduction </w:t>
      </w:r>
      <w:r w:rsidR="000833D1">
        <w:rPr>
          <w:rFonts w:cs="Arial"/>
        </w:rPr>
        <w:t>in</w:t>
      </w:r>
      <w:r>
        <w:rPr>
          <w:rFonts w:cs="Arial"/>
        </w:rPr>
        <w:t xml:space="preserve"> the number of payments bein</w:t>
      </w:r>
      <w:r w:rsidR="00384F34">
        <w:rPr>
          <w:rFonts w:cs="Arial"/>
        </w:rPr>
        <w:t>g made by cash and cheque. The C</w:t>
      </w:r>
      <w:r>
        <w:rPr>
          <w:rFonts w:cs="Arial"/>
        </w:rPr>
        <w:t xml:space="preserve">ouncil suspended cash and cheques as a payment </w:t>
      </w:r>
      <w:r w:rsidR="00D93703">
        <w:rPr>
          <w:rFonts w:cs="Arial"/>
        </w:rPr>
        <w:t>method</w:t>
      </w:r>
      <w:r>
        <w:rPr>
          <w:rFonts w:cs="Arial"/>
        </w:rPr>
        <w:t xml:space="preserve"> in May of this year due to issues in processing such income in the</w:t>
      </w:r>
      <w:r w:rsidR="00D93703">
        <w:rPr>
          <w:rFonts w:cs="Arial"/>
        </w:rPr>
        <w:t xml:space="preserve"> current </w:t>
      </w:r>
      <w:r w:rsidR="00D93703">
        <w:rPr>
          <w:rFonts w:cs="Arial"/>
        </w:rPr>
        <w:lastRenderedPageBreak/>
        <w:t>environment. Withdrawi</w:t>
      </w:r>
      <w:r>
        <w:rPr>
          <w:rFonts w:cs="Arial"/>
        </w:rPr>
        <w:t>ng this service completely and point</w:t>
      </w:r>
      <w:r w:rsidR="003425F0">
        <w:rPr>
          <w:rFonts w:cs="Arial"/>
        </w:rPr>
        <w:t>ing</w:t>
      </w:r>
      <w:r>
        <w:rPr>
          <w:rFonts w:cs="Arial"/>
        </w:rPr>
        <w:t xml:space="preserve"> payees to payment by card, direct debit or Pay Point will reduce costs as well as improve debt recovery. By far the largest amount of </w:t>
      </w:r>
      <w:r w:rsidR="00D93703">
        <w:rPr>
          <w:rFonts w:cs="Arial"/>
        </w:rPr>
        <w:t>cash</w:t>
      </w:r>
      <w:r>
        <w:rPr>
          <w:rFonts w:cs="Arial"/>
        </w:rPr>
        <w:t xml:space="preserve"> </w:t>
      </w:r>
      <w:r w:rsidR="00D93703">
        <w:rPr>
          <w:rFonts w:cs="Arial"/>
        </w:rPr>
        <w:t>payments</w:t>
      </w:r>
      <w:r>
        <w:rPr>
          <w:rFonts w:cs="Arial"/>
        </w:rPr>
        <w:t xml:space="preserve"> (and hence the largest direct saving) relates to the Council off </w:t>
      </w:r>
      <w:r w:rsidR="00D93703">
        <w:rPr>
          <w:rFonts w:cs="Arial"/>
        </w:rPr>
        <w:t>street</w:t>
      </w:r>
      <w:r>
        <w:rPr>
          <w:rFonts w:cs="Arial"/>
        </w:rPr>
        <w:t xml:space="preserve"> car parking and </w:t>
      </w:r>
      <w:r w:rsidR="00384F34">
        <w:rPr>
          <w:rFonts w:cs="Arial"/>
        </w:rPr>
        <w:t>allowing payment by card only may result in a saving of over £30k per annum</w:t>
      </w:r>
      <w:r>
        <w:rPr>
          <w:rFonts w:cs="Arial"/>
        </w:rPr>
        <w:t xml:space="preserve">. </w:t>
      </w:r>
    </w:p>
    <w:p w:rsidR="00896588" w:rsidRDefault="00896588" w:rsidP="007E34DD">
      <w:pPr>
        <w:pStyle w:val="ListParagraph"/>
        <w:numPr>
          <w:ilvl w:val="0"/>
          <w:numId w:val="18"/>
        </w:numPr>
        <w:ind w:right="386"/>
        <w:rPr>
          <w:rFonts w:cs="Arial"/>
        </w:rPr>
      </w:pPr>
      <w:r>
        <w:rPr>
          <w:rFonts w:cs="Arial"/>
          <w:b/>
        </w:rPr>
        <w:t>Organ</w:t>
      </w:r>
      <w:r w:rsidR="00B563E1">
        <w:rPr>
          <w:rFonts w:cs="Arial"/>
          <w:b/>
        </w:rPr>
        <w:t>i</w:t>
      </w:r>
      <w:r>
        <w:rPr>
          <w:rFonts w:cs="Arial"/>
          <w:b/>
        </w:rPr>
        <w:t xml:space="preserve">sation Development </w:t>
      </w:r>
      <w:r>
        <w:rPr>
          <w:rFonts w:cs="Arial"/>
        </w:rPr>
        <w:t>– The council has a base budget of £524k for organisation development including staff training and development of the People Strategy, a saving of around £50k will be made across these areas</w:t>
      </w:r>
      <w:r w:rsidR="00384F34" w:rsidRPr="00384F34">
        <w:rPr>
          <w:rFonts w:cs="Arial"/>
        </w:rPr>
        <w:t xml:space="preserve"> </w:t>
      </w:r>
      <w:r w:rsidR="00384F34">
        <w:rPr>
          <w:rFonts w:cs="Arial"/>
        </w:rPr>
        <w:t>recognising that more training will be delivered without a need to travel and alternative sources of training may be available</w:t>
      </w:r>
    </w:p>
    <w:p w:rsidR="00896588" w:rsidRDefault="00896588" w:rsidP="007E34DD">
      <w:pPr>
        <w:pStyle w:val="ListParagraph"/>
        <w:numPr>
          <w:ilvl w:val="0"/>
          <w:numId w:val="18"/>
        </w:numPr>
        <w:ind w:right="386"/>
        <w:rPr>
          <w:rFonts w:cs="Arial"/>
        </w:rPr>
      </w:pPr>
      <w:r>
        <w:rPr>
          <w:rFonts w:cs="Arial"/>
          <w:b/>
        </w:rPr>
        <w:t xml:space="preserve">May morning </w:t>
      </w:r>
      <w:r>
        <w:rPr>
          <w:rFonts w:cs="Arial"/>
        </w:rPr>
        <w:t>–</w:t>
      </w:r>
      <w:r w:rsidR="00384F34">
        <w:rPr>
          <w:rFonts w:cs="Arial"/>
        </w:rPr>
        <w:t>T</w:t>
      </w:r>
      <w:r>
        <w:rPr>
          <w:rFonts w:cs="Arial"/>
        </w:rPr>
        <w:t>he event current</w:t>
      </w:r>
      <w:r w:rsidR="00384F34">
        <w:rPr>
          <w:rFonts w:cs="Arial"/>
        </w:rPr>
        <w:t>ly</w:t>
      </w:r>
      <w:r>
        <w:rPr>
          <w:rFonts w:cs="Arial"/>
        </w:rPr>
        <w:t xml:space="preserve"> cost</w:t>
      </w:r>
      <w:r w:rsidR="003425F0">
        <w:rPr>
          <w:rFonts w:cs="Arial"/>
        </w:rPr>
        <w:t>s</w:t>
      </w:r>
      <w:r>
        <w:rPr>
          <w:rFonts w:cs="Arial"/>
        </w:rPr>
        <w:t xml:space="preserve"> the Council around £40k for security. The council will seek funding from partners</w:t>
      </w:r>
      <w:r w:rsidR="00384F34">
        <w:rPr>
          <w:rFonts w:cs="Arial"/>
        </w:rPr>
        <w:t>, as it is not equitable to expect the Council alone to bear the cost of this event</w:t>
      </w:r>
    </w:p>
    <w:p w:rsidR="00896588" w:rsidRPr="00A46F1B" w:rsidRDefault="00896588" w:rsidP="007E34DD">
      <w:pPr>
        <w:pStyle w:val="ListParagraph"/>
        <w:numPr>
          <w:ilvl w:val="0"/>
          <w:numId w:val="18"/>
        </w:numPr>
        <w:ind w:right="386"/>
        <w:rPr>
          <w:rFonts w:cs="Arial"/>
        </w:rPr>
      </w:pPr>
      <w:r>
        <w:rPr>
          <w:rFonts w:cs="Arial"/>
          <w:b/>
        </w:rPr>
        <w:t xml:space="preserve">Sports Development </w:t>
      </w:r>
      <w:r w:rsidRPr="00896588">
        <w:rPr>
          <w:rFonts w:cs="Arial"/>
        </w:rPr>
        <w:t>-</w:t>
      </w:r>
      <w:r>
        <w:rPr>
          <w:rFonts w:cs="Arial"/>
        </w:rPr>
        <w:t xml:space="preserve">  </w:t>
      </w:r>
      <w:r w:rsidR="00384F34">
        <w:rPr>
          <w:rFonts w:cs="Arial"/>
        </w:rPr>
        <w:t xml:space="preserve">The consultation budget proposes a saving of £50k to be made in the £200k sports development budget of 2022-23, as part of a wider review of the Communities section of the Council </w:t>
      </w:r>
    </w:p>
    <w:p w:rsidR="009F3055" w:rsidRPr="00350FB5" w:rsidRDefault="009F3055" w:rsidP="007E34DD">
      <w:pPr>
        <w:pStyle w:val="ListParagraph"/>
        <w:numPr>
          <w:ilvl w:val="0"/>
          <w:numId w:val="18"/>
        </w:numPr>
        <w:ind w:right="386"/>
        <w:rPr>
          <w:rFonts w:cs="Arial"/>
        </w:rPr>
      </w:pPr>
      <w:r w:rsidRPr="00350FB5">
        <w:rPr>
          <w:rFonts w:cs="Arial"/>
          <w:b/>
        </w:rPr>
        <w:t xml:space="preserve">Impact of Universal Credit Roll out </w:t>
      </w:r>
      <w:r w:rsidR="00350FB5" w:rsidRPr="00350FB5">
        <w:rPr>
          <w:rFonts w:cs="Arial"/>
        </w:rPr>
        <w:t>–</w:t>
      </w:r>
      <w:r w:rsidRPr="00350FB5">
        <w:rPr>
          <w:rFonts w:cs="Arial"/>
        </w:rPr>
        <w:t xml:space="preserve"> </w:t>
      </w:r>
      <w:r w:rsidR="00350FB5" w:rsidRPr="00350FB5">
        <w:rPr>
          <w:rFonts w:cs="Arial"/>
        </w:rPr>
        <w:t xml:space="preserve">It is understood that the Government has pushed back full roll out to 2023- 2025. The council will seek to make staffing savings of around </w:t>
      </w:r>
      <w:r w:rsidRPr="00350FB5">
        <w:rPr>
          <w:rFonts w:cs="Arial"/>
        </w:rPr>
        <w:t>£</w:t>
      </w:r>
      <w:r w:rsidR="005A3480" w:rsidRPr="00350FB5">
        <w:rPr>
          <w:rFonts w:cs="Arial"/>
        </w:rPr>
        <w:t>24</w:t>
      </w:r>
      <w:r w:rsidRPr="00350FB5">
        <w:rPr>
          <w:rFonts w:cs="Arial"/>
        </w:rPr>
        <w:t>0k per annum from 202</w:t>
      </w:r>
      <w:r w:rsidR="00350FB5" w:rsidRPr="00350FB5">
        <w:rPr>
          <w:rFonts w:cs="Arial"/>
        </w:rPr>
        <w:t>3</w:t>
      </w:r>
      <w:r w:rsidRPr="00350FB5">
        <w:rPr>
          <w:rFonts w:cs="Arial"/>
        </w:rPr>
        <w:t>-2</w:t>
      </w:r>
      <w:r w:rsidR="00350FB5" w:rsidRPr="00350FB5">
        <w:rPr>
          <w:rFonts w:cs="Arial"/>
        </w:rPr>
        <w:t>4</w:t>
      </w:r>
    </w:p>
    <w:p w:rsidR="009F3055" w:rsidRPr="00350FB5" w:rsidRDefault="009F3055" w:rsidP="007E34DD">
      <w:pPr>
        <w:pStyle w:val="ListParagraph"/>
        <w:numPr>
          <w:ilvl w:val="0"/>
          <w:numId w:val="18"/>
        </w:numPr>
        <w:ind w:right="386"/>
        <w:rPr>
          <w:rFonts w:cs="Arial"/>
        </w:rPr>
      </w:pPr>
      <w:r w:rsidRPr="00350FB5">
        <w:rPr>
          <w:rFonts w:cs="Arial"/>
          <w:b/>
        </w:rPr>
        <w:t xml:space="preserve">ICT </w:t>
      </w:r>
      <w:r w:rsidR="00350FB5" w:rsidRPr="00350FB5">
        <w:rPr>
          <w:rFonts w:cs="Arial"/>
          <w:b/>
        </w:rPr>
        <w:t>contracts review</w:t>
      </w:r>
      <w:r w:rsidRPr="00350FB5">
        <w:rPr>
          <w:rFonts w:cs="Arial"/>
          <w:b/>
        </w:rPr>
        <w:t xml:space="preserve"> – </w:t>
      </w:r>
      <w:r w:rsidR="00350FB5" w:rsidRPr="00350FB5">
        <w:rPr>
          <w:rFonts w:cs="Arial"/>
        </w:rPr>
        <w:t xml:space="preserve">review of software licenses </w:t>
      </w:r>
      <w:r w:rsidRPr="00350FB5">
        <w:rPr>
          <w:rFonts w:cs="Arial"/>
        </w:rPr>
        <w:t>- £</w:t>
      </w:r>
      <w:r w:rsidR="00350FB5" w:rsidRPr="00350FB5">
        <w:rPr>
          <w:rFonts w:cs="Arial"/>
        </w:rPr>
        <w:t>200k</w:t>
      </w:r>
      <w:r w:rsidRPr="00350FB5">
        <w:rPr>
          <w:rFonts w:cs="Arial"/>
        </w:rPr>
        <w:t xml:space="preserve"> per annum</w:t>
      </w:r>
    </w:p>
    <w:p w:rsidR="009F3055" w:rsidRDefault="009F3055" w:rsidP="007E34DD">
      <w:pPr>
        <w:pStyle w:val="ListParagraph"/>
        <w:numPr>
          <w:ilvl w:val="0"/>
          <w:numId w:val="18"/>
        </w:numPr>
        <w:ind w:right="386"/>
        <w:rPr>
          <w:rFonts w:cs="Arial"/>
        </w:rPr>
      </w:pPr>
      <w:r w:rsidRPr="00350FB5">
        <w:rPr>
          <w:rFonts w:cs="Arial"/>
          <w:b/>
        </w:rPr>
        <w:t xml:space="preserve">Robotic Process Automation – </w:t>
      </w:r>
      <w:r w:rsidRPr="00350FB5">
        <w:rPr>
          <w:rFonts w:cs="Arial"/>
        </w:rPr>
        <w:t>automation of processing initially in Revenues and Benefits to achieve savings in external support - £50k per annum</w:t>
      </w:r>
    </w:p>
    <w:p w:rsidR="00350FB5" w:rsidRDefault="00350FB5" w:rsidP="007E34DD">
      <w:pPr>
        <w:pStyle w:val="ListParagraph"/>
        <w:numPr>
          <w:ilvl w:val="0"/>
          <w:numId w:val="18"/>
        </w:numPr>
        <w:ind w:right="386"/>
        <w:rPr>
          <w:rFonts w:cs="Arial"/>
        </w:rPr>
      </w:pPr>
      <w:r>
        <w:rPr>
          <w:rFonts w:cs="Arial"/>
          <w:b/>
        </w:rPr>
        <w:t>Printing and scanning –</w:t>
      </w:r>
      <w:r>
        <w:rPr>
          <w:rFonts w:cs="Arial"/>
        </w:rPr>
        <w:t xml:space="preserve"> Reduction in the costs of providing printing and scanning facilities - £50k per annum</w:t>
      </w:r>
    </w:p>
    <w:p w:rsidR="00350FB5" w:rsidRDefault="00350FB5" w:rsidP="007E34DD">
      <w:pPr>
        <w:pStyle w:val="ListParagraph"/>
        <w:numPr>
          <w:ilvl w:val="0"/>
          <w:numId w:val="18"/>
        </w:numPr>
        <w:ind w:right="386"/>
        <w:rPr>
          <w:rFonts w:cs="Arial"/>
        </w:rPr>
      </w:pPr>
      <w:r>
        <w:rPr>
          <w:rFonts w:cs="Arial"/>
          <w:b/>
        </w:rPr>
        <w:t>Reducing office space and remote working -</w:t>
      </w:r>
      <w:r>
        <w:rPr>
          <w:rFonts w:cs="Arial"/>
        </w:rPr>
        <w:t xml:space="preserve"> £525k per annum. The pandemic has changed the way that we deliver back office services. Since March most administrative staff have been working from home. This </w:t>
      </w:r>
      <w:r w:rsidR="001A0458">
        <w:rPr>
          <w:rFonts w:cs="Arial"/>
        </w:rPr>
        <w:t>work stream</w:t>
      </w:r>
      <w:r>
        <w:rPr>
          <w:rFonts w:cs="Arial"/>
        </w:rPr>
        <w:t xml:space="preserve"> will look at the potential for more regular working from home </w:t>
      </w:r>
      <w:r w:rsidR="001A0458">
        <w:rPr>
          <w:rFonts w:cs="Arial"/>
        </w:rPr>
        <w:t>going fo</w:t>
      </w:r>
      <w:r w:rsidR="00BD2F96">
        <w:rPr>
          <w:rFonts w:cs="Arial"/>
        </w:rPr>
        <w:t>rward and the reduction of the C</w:t>
      </w:r>
      <w:r w:rsidR="001A0458">
        <w:rPr>
          <w:rFonts w:cs="Arial"/>
        </w:rPr>
        <w:t xml:space="preserve">ouncil’s office footprint. The </w:t>
      </w:r>
      <w:r w:rsidR="000B6EF3">
        <w:rPr>
          <w:rFonts w:cs="Arial"/>
        </w:rPr>
        <w:t xml:space="preserve">budget assumes a saving based on </w:t>
      </w:r>
      <w:r w:rsidR="001A0458">
        <w:rPr>
          <w:rFonts w:cs="Arial"/>
        </w:rPr>
        <w:t xml:space="preserve">releasing </w:t>
      </w:r>
      <w:r w:rsidR="003425F0">
        <w:rPr>
          <w:rFonts w:cs="Arial"/>
        </w:rPr>
        <w:t>two</w:t>
      </w:r>
      <w:r w:rsidR="001A0458">
        <w:rPr>
          <w:rFonts w:cs="Arial"/>
        </w:rPr>
        <w:t xml:space="preserve"> floors within St Aldates Chambers but </w:t>
      </w:r>
      <w:r w:rsidR="000B6EF3">
        <w:rPr>
          <w:rFonts w:cs="Arial"/>
        </w:rPr>
        <w:t xml:space="preserve">officers </w:t>
      </w:r>
      <w:r w:rsidR="001A0458">
        <w:rPr>
          <w:rFonts w:cs="Arial"/>
        </w:rPr>
        <w:t xml:space="preserve">will examine options for a more ambitious reduction. </w:t>
      </w:r>
    </w:p>
    <w:p w:rsidR="001A0458" w:rsidRDefault="001A0458" w:rsidP="007E34DD">
      <w:pPr>
        <w:pStyle w:val="ListParagraph"/>
        <w:numPr>
          <w:ilvl w:val="0"/>
          <w:numId w:val="18"/>
        </w:numPr>
        <w:ind w:right="386"/>
        <w:rPr>
          <w:rFonts w:cs="Arial"/>
        </w:rPr>
      </w:pPr>
      <w:r>
        <w:rPr>
          <w:rFonts w:cs="Arial"/>
          <w:b/>
        </w:rPr>
        <w:t>Communities and Housing Integration –</w:t>
      </w:r>
      <w:r>
        <w:rPr>
          <w:rFonts w:cs="Arial"/>
        </w:rPr>
        <w:t xml:space="preserve"> £430k per annum from 2022-23. Reducing the cost of providing such services by the deletion of vacant posts and reduction in temporary staffing as well as improving quality and delivery of service to customers and delivering multi-functional locality based integrated teams</w:t>
      </w:r>
    </w:p>
    <w:p w:rsidR="00384F34" w:rsidRDefault="009E73F2" w:rsidP="007E34DD">
      <w:pPr>
        <w:pStyle w:val="ListParagraph"/>
        <w:numPr>
          <w:ilvl w:val="0"/>
          <w:numId w:val="18"/>
        </w:numPr>
        <w:ind w:right="386"/>
        <w:rPr>
          <w:rFonts w:cs="Arial"/>
        </w:rPr>
      </w:pPr>
      <w:r>
        <w:rPr>
          <w:rFonts w:cs="Arial"/>
          <w:b/>
        </w:rPr>
        <w:t>Festive Lights -</w:t>
      </w:r>
      <w:r>
        <w:rPr>
          <w:rFonts w:cs="Arial"/>
        </w:rPr>
        <w:t xml:space="preserve"> £20k saving against a total budget of £117k </w:t>
      </w:r>
      <w:r w:rsidR="00384F34">
        <w:rPr>
          <w:rFonts w:cs="Arial"/>
        </w:rPr>
        <w:t xml:space="preserve">to be achieved if possible by securing external funding. </w:t>
      </w:r>
    </w:p>
    <w:p w:rsidR="00384F34" w:rsidRDefault="004C0857" w:rsidP="007E34DD">
      <w:pPr>
        <w:pStyle w:val="ListParagraph"/>
        <w:numPr>
          <w:ilvl w:val="0"/>
          <w:numId w:val="18"/>
        </w:numPr>
        <w:ind w:right="386"/>
        <w:rPr>
          <w:rFonts w:cs="Arial"/>
        </w:rPr>
      </w:pPr>
      <w:r>
        <w:rPr>
          <w:rFonts w:cs="Arial"/>
          <w:b/>
        </w:rPr>
        <w:t>Community Grant</w:t>
      </w:r>
      <w:r w:rsidR="00384F34">
        <w:rPr>
          <w:rFonts w:cs="Arial"/>
          <w:b/>
        </w:rPr>
        <w:t>s</w:t>
      </w:r>
      <w:r>
        <w:rPr>
          <w:rFonts w:cs="Arial"/>
          <w:b/>
        </w:rPr>
        <w:t xml:space="preserve"> –</w:t>
      </w:r>
      <w:r>
        <w:rPr>
          <w:rFonts w:cs="Arial"/>
        </w:rPr>
        <w:t xml:space="preserve"> £200k reduction from 2022-23. The Council currently spend</w:t>
      </w:r>
      <w:r w:rsidR="00BD2F96">
        <w:rPr>
          <w:rFonts w:cs="Arial"/>
        </w:rPr>
        <w:t>s</w:t>
      </w:r>
      <w:r>
        <w:rPr>
          <w:rFonts w:cs="Arial"/>
        </w:rPr>
        <w:t xml:space="preserve"> around £1.7 million on grants to community covering, arts and culture, community safety, homelessness prevention, advice and money management, youth </w:t>
      </w:r>
      <w:r w:rsidR="00384F34">
        <w:rPr>
          <w:rFonts w:cs="Arial"/>
        </w:rPr>
        <w:t>work</w:t>
      </w:r>
      <w:r>
        <w:rPr>
          <w:rFonts w:cs="Arial"/>
        </w:rPr>
        <w:t xml:space="preserve"> and holiday activities as well as making available sum of money for other small grants. In order to evaluate the impact of any reduction in spend grant funded organisations would be funded for one additional year 2021-22</w:t>
      </w:r>
      <w:r w:rsidR="00384F34">
        <w:rPr>
          <w:rFonts w:cs="Arial"/>
        </w:rPr>
        <w:t xml:space="preserve"> and the aim is to minimise the impact of the proposed reduction by supporting organisations to increase efficiency.</w:t>
      </w:r>
    </w:p>
    <w:p w:rsidR="00384F34" w:rsidRPr="003E7BDF" w:rsidRDefault="004C0857" w:rsidP="007E34DD">
      <w:pPr>
        <w:pStyle w:val="ListParagraph"/>
        <w:numPr>
          <w:ilvl w:val="0"/>
          <w:numId w:val="18"/>
        </w:numPr>
        <w:ind w:right="386"/>
        <w:rPr>
          <w:rFonts w:cs="Arial"/>
        </w:rPr>
      </w:pPr>
      <w:r>
        <w:rPr>
          <w:rFonts w:cs="Arial"/>
          <w:b/>
        </w:rPr>
        <w:t>Planning committees –</w:t>
      </w:r>
      <w:r>
        <w:rPr>
          <w:rFonts w:cs="Arial"/>
        </w:rPr>
        <w:t xml:space="preserve"> </w:t>
      </w:r>
      <w:r w:rsidR="006A4A8D">
        <w:rPr>
          <w:rFonts w:cs="Arial"/>
        </w:rPr>
        <w:t>£45k per annum -</w:t>
      </w:r>
      <w:r w:rsidR="00384F34" w:rsidRPr="00384F34">
        <w:rPr>
          <w:rFonts w:cs="Arial"/>
        </w:rPr>
        <w:t xml:space="preserve"> </w:t>
      </w:r>
      <w:r w:rsidR="00384F34">
        <w:rPr>
          <w:rFonts w:cs="Arial"/>
        </w:rPr>
        <w:t xml:space="preserve">This would reduce the number of </w:t>
      </w:r>
      <w:r w:rsidR="00384F34" w:rsidRPr="003E7BDF">
        <w:rPr>
          <w:rFonts w:cs="Arial"/>
        </w:rPr>
        <w:t>planning committee meetings and allow for more delegation to officers.</w:t>
      </w:r>
    </w:p>
    <w:p w:rsidR="00AD5B42" w:rsidRPr="003E7BDF" w:rsidRDefault="006A4A8D" w:rsidP="007E34DD">
      <w:pPr>
        <w:pStyle w:val="ListParagraph"/>
        <w:numPr>
          <w:ilvl w:val="0"/>
          <w:numId w:val="18"/>
        </w:numPr>
        <w:ind w:right="386"/>
        <w:rPr>
          <w:rFonts w:cs="Arial"/>
        </w:rPr>
      </w:pPr>
      <w:r w:rsidRPr="003E7BDF">
        <w:rPr>
          <w:rFonts w:cs="Arial"/>
          <w:b/>
        </w:rPr>
        <w:lastRenderedPageBreak/>
        <w:t xml:space="preserve">Community Housing and Strategy Team – </w:t>
      </w:r>
      <w:r w:rsidR="00AD5B42" w:rsidRPr="003E7BDF">
        <w:rPr>
          <w:rFonts w:cs="Arial"/>
        </w:rPr>
        <w:t>£50</w:t>
      </w:r>
      <w:r w:rsidR="003E7BDF" w:rsidRPr="003E7BDF">
        <w:rPr>
          <w:rFonts w:cs="Arial"/>
        </w:rPr>
        <w:t xml:space="preserve">k per annum review of staffing levels in relation to housing and strategy team. </w:t>
      </w:r>
    </w:p>
    <w:p w:rsidR="00AD5B42" w:rsidRPr="003E7BDF" w:rsidRDefault="00AD5B42" w:rsidP="007E34DD">
      <w:pPr>
        <w:pStyle w:val="ListParagraph"/>
        <w:numPr>
          <w:ilvl w:val="0"/>
          <w:numId w:val="18"/>
        </w:numPr>
        <w:ind w:right="386"/>
        <w:rPr>
          <w:rFonts w:cs="Arial"/>
        </w:rPr>
      </w:pPr>
      <w:r w:rsidRPr="00AD5B42">
        <w:rPr>
          <w:rFonts w:cs="Arial"/>
          <w:b/>
        </w:rPr>
        <w:t xml:space="preserve">Housing Needs – </w:t>
      </w:r>
      <w:r w:rsidR="007C1321">
        <w:rPr>
          <w:rFonts w:cs="Arial"/>
          <w:b/>
        </w:rPr>
        <w:t xml:space="preserve">£300k per annum </w:t>
      </w:r>
      <w:r w:rsidR="003E2744">
        <w:rPr>
          <w:rFonts w:cs="Arial"/>
          <w:b/>
        </w:rPr>
        <w:t xml:space="preserve">– </w:t>
      </w:r>
      <w:r w:rsidR="003E2744" w:rsidRPr="003E7BDF">
        <w:rPr>
          <w:rFonts w:cs="Arial"/>
        </w:rPr>
        <w:t xml:space="preserve">A review of Housing Needs services to reduce cost of preventing homelessness, gain better access to private rented sector housing, reduce the cost of temporary accommodation, </w:t>
      </w:r>
      <w:r w:rsidR="003E7BDF">
        <w:rPr>
          <w:rFonts w:cs="Arial"/>
        </w:rPr>
        <w:t xml:space="preserve">and </w:t>
      </w:r>
      <w:r w:rsidR="003E2744" w:rsidRPr="003E7BDF">
        <w:rPr>
          <w:rFonts w:cs="Arial"/>
        </w:rPr>
        <w:t>reviewing the process for appli</w:t>
      </w:r>
      <w:r w:rsidR="003E7BDF">
        <w:rPr>
          <w:rFonts w:cs="Arial"/>
        </w:rPr>
        <w:t>cations to the housing register</w:t>
      </w:r>
      <w:r w:rsidR="003E2744" w:rsidRPr="003E7BDF">
        <w:rPr>
          <w:rFonts w:cs="Arial"/>
        </w:rPr>
        <w:t xml:space="preserve"> </w:t>
      </w:r>
    </w:p>
    <w:p w:rsidR="006A4A8D" w:rsidRPr="00AD5B42" w:rsidRDefault="006A4A8D" w:rsidP="007E34DD">
      <w:pPr>
        <w:pStyle w:val="ListParagraph"/>
        <w:numPr>
          <w:ilvl w:val="0"/>
          <w:numId w:val="18"/>
        </w:numPr>
        <w:ind w:right="386"/>
        <w:rPr>
          <w:rFonts w:cs="Arial"/>
        </w:rPr>
      </w:pPr>
      <w:r w:rsidRPr="00AD5B42">
        <w:rPr>
          <w:rFonts w:cs="Arial"/>
          <w:b/>
        </w:rPr>
        <w:t>Rough sleeping –</w:t>
      </w:r>
      <w:r w:rsidRPr="00AD5B42">
        <w:rPr>
          <w:rFonts w:cs="Arial"/>
        </w:rPr>
        <w:t xml:space="preserve"> £189k on going from 2023-24 -County wide changes to the provision of the service to release efficiencies </w:t>
      </w:r>
    </w:p>
    <w:p w:rsidR="00A46F1B" w:rsidRPr="006A4A8D" w:rsidRDefault="00A46F1B" w:rsidP="007E34DD">
      <w:pPr>
        <w:pStyle w:val="ListParagraph"/>
        <w:numPr>
          <w:ilvl w:val="0"/>
          <w:numId w:val="18"/>
        </w:numPr>
        <w:ind w:right="386"/>
        <w:rPr>
          <w:rFonts w:cs="Arial"/>
        </w:rPr>
      </w:pPr>
      <w:r>
        <w:rPr>
          <w:rFonts w:cs="Arial"/>
          <w:b/>
        </w:rPr>
        <w:t>Rev</w:t>
      </w:r>
      <w:r w:rsidR="003425F0">
        <w:rPr>
          <w:rFonts w:cs="Arial"/>
          <w:b/>
        </w:rPr>
        <w:t>enues</w:t>
      </w:r>
      <w:r>
        <w:rPr>
          <w:rFonts w:cs="Arial"/>
          <w:b/>
        </w:rPr>
        <w:t xml:space="preserve"> and Benefits system replacement –</w:t>
      </w:r>
      <w:r>
        <w:rPr>
          <w:rFonts w:cs="Arial"/>
        </w:rPr>
        <w:t xml:space="preserve"> £100k saving per annum from staffing and </w:t>
      </w:r>
      <w:r w:rsidR="003425F0">
        <w:rPr>
          <w:rFonts w:cs="Arial"/>
        </w:rPr>
        <w:t xml:space="preserve">the </w:t>
      </w:r>
      <w:r>
        <w:rPr>
          <w:rFonts w:cs="Arial"/>
        </w:rPr>
        <w:t>resilience contract</w:t>
      </w:r>
    </w:p>
    <w:p w:rsidR="00F52B2C" w:rsidRPr="00A46F1B" w:rsidRDefault="00F52B2C" w:rsidP="007E34DD">
      <w:pPr>
        <w:pStyle w:val="ListParagraph"/>
        <w:numPr>
          <w:ilvl w:val="0"/>
          <w:numId w:val="18"/>
        </w:numPr>
        <w:ind w:right="386"/>
        <w:rPr>
          <w:rFonts w:cs="Arial"/>
        </w:rPr>
      </w:pPr>
      <w:r w:rsidRPr="00A46F1B">
        <w:rPr>
          <w:rFonts w:cs="Arial"/>
          <w:b/>
        </w:rPr>
        <w:t xml:space="preserve">Council Tax Reduction Scheme – </w:t>
      </w:r>
      <w:r w:rsidRPr="00A46F1B">
        <w:rPr>
          <w:rFonts w:cs="Arial"/>
        </w:rPr>
        <w:t xml:space="preserve">Changes in the scheme to achieve administrative savings in the Benefits Team and Customer Services Team </w:t>
      </w:r>
      <w:r w:rsidR="003175D7" w:rsidRPr="00A46F1B">
        <w:rPr>
          <w:rFonts w:cs="Arial"/>
        </w:rPr>
        <w:t xml:space="preserve">while avoiding adverse impacts upon claimants </w:t>
      </w:r>
      <w:r w:rsidRPr="00A46F1B">
        <w:rPr>
          <w:rFonts w:cs="Arial"/>
        </w:rPr>
        <w:t>- £</w:t>
      </w:r>
      <w:r w:rsidR="006D0374" w:rsidRPr="00A46F1B">
        <w:rPr>
          <w:rFonts w:cs="Arial"/>
        </w:rPr>
        <w:t>12</w:t>
      </w:r>
      <w:r w:rsidRPr="00A46F1B">
        <w:rPr>
          <w:rFonts w:cs="Arial"/>
        </w:rPr>
        <w:t xml:space="preserve">0k per annum </w:t>
      </w:r>
    </w:p>
    <w:p w:rsidR="005A3480" w:rsidRPr="00000222" w:rsidRDefault="005A3480" w:rsidP="00101ED1">
      <w:pPr>
        <w:ind w:left="1560" w:right="386"/>
        <w:rPr>
          <w:rFonts w:cs="Arial"/>
          <w:b/>
          <w:highlight w:val="yellow"/>
        </w:rPr>
      </w:pPr>
    </w:p>
    <w:p w:rsidR="005A3480" w:rsidRPr="00EF73F6" w:rsidRDefault="00C25AEC" w:rsidP="00B80EBF">
      <w:pPr>
        <w:tabs>
          <w:tab w:val="left" w:pos="540"/>
        </w:tabs>
        <w:ind w:right="386"/>
        <w:rPr>
          <w:rFonts w:cs="Arial"/>
          <w:b/>
        </w:rPr>
      </w:pPr>
      <w:r w:rsidRPr="00EF73F6">
        <w:rPr>
          <w:rFonts w:cs="Arial"/>
          <w:b/>
        </w:rPr>
        <w:t xml:space="preserve">External </w:t>
      </w:r>
      <w:r w:rsidR="005A3480" w:rsidRPr="00EF73F6">
        <w:rPr>
          <w:rFonts w:cs="Arial"/>
          <w:b/>
        </w:rPr>
        <w:t>Income</w:t>
      </w:r>
    </w:p>
    <w:p w:rsidR="00B976BC" w:rsidRPr="00EF73F6" w:rsidRDefault="00B976BC" w:rsidP="00B80EBF">
      <w:pPr>
        <w:tabs>
          <w:tab w:val="left" w:pos="540"/>
        </w:tabs>
        <w:ind w:right="386"/>
        <w:rPr>
          <w:rFonts w:cs="Arial"/>
          <w:b/>
        </w:rPr>
      </w:pPr>
    </w:p>
    <w:p w:rsidR="00382904" w:rsidRPr="00EF73F6" w:rsidRDefault="00EF73F6" w:rsidP="007E34DD">
      <w:pPr>
        <w:pStyle w:val="ListParagraph"/>
        <w:numPr>
          <w:ilvl w:val="0"/>
          <w:numId w:val="48"/>
        </w:numPr>
        <w:tabs>
          <w:tab w:val="left" w:pos="540"/>
        </w:tabs>
        <w:ind w:left="567" w:right="386" w:hanging="567"/>
        <w:rPr>
          <w:rFonts w:cs="Arial"/>
        </w:rPr>
      </w:pPr>
      <w:r w:rsidRPr="00EF73F6">
        <w:rPr>
          <w:rFonts w:cs="Arial"/>
        </w:rPr>
        <w:t>There is limited capacity to increase fees and charges from serv</w:t>
      </w:r>
      <w:r w:rsidR="00603CCF">
        <w:rPr>
          <w:rFonts w:cs="Arial"/>
        </w:rPr>
        <w:t>ices over the period of the MTFS</w:t>
      </w:r>
      <w:r w:rsidRPr="00EF73F6">
        <w:rPr>
          <w:rFonts w:cs="Arial"/>
        </w:rPr>
        <w:t xml:space="preserve"> given the impact of COVID</w:t>
      </w:r>
      <w:r w:rsidR="00BD2F96">
        <w:rPr>
          <w:rFonts w:cs="Arial"/>
        </w:rPr>
        <w:t xml:space="preserve"> 19</w:t>
      </w:r>
      <w:r w:rsidRPr="00EF73F6">
        <w:rPr>
          <w:rFonts w:cs="Arial"/>
        </w:rPr>
        <w:t xml:space="preserve">. The focus for the council is in trying to regain market share </w:t>
      </w:r>
    </w:p>
    <w:p w:rsidR="00EF73F6" w:rsidRPr="00EF73F6" w:rsidRDefault="00EF73F6" w:rsidP="00EF73F6">
      <w:pPr>
        <w:pStyle w:val="ListParagraph"/>
        <w:tabs>
          <w:tab w:val="left" w:pos="540"/>
        </w:tabs>
        <w:ind w:left="1080" w:right="386"/>
        <w:rPr>
          <w:rFonts w:cs="Arial"/>
          <w:highlight w:val="yellow"/>
        </w:rPr>
      </w:pPr>
    </w:p>
    <w:p w:rsidR="00382904" w:rsidRPr="000C03E1" w:rsidRDefault="00382904" w:rsidP="007E34DD">
      <w:pPr>
        <w:pStyle w:val="ListParagraph"/>
        <w:numPr>
          <w:ilvl w:val="0"/>
          <w:numId w:val="48"/>
        </w:numPr>
        <w:spacing w:after="120"/>
        <w:ind w:left="567" w:right="386" w:hanging="567"/>
      </w:pPr>
      <w:r w:rsidRPr="000C03E1">
        <w:rPr>
          <w:b/>
        </w:rPr>
        <w:t xml:space="preserve">Fees and Charges </w:t>
      </w:r>
      <w:r w:rsidRPr="000C03E1">
        <w:t>– Details of specific fees and charges increases in 202</w:t>
      </w:r>
      <w:r w:rsidR="00A46F1B" w:rsidRPr="000C03E1">
        <w:t>1</w:t>
      </w:r>
      <w:r w:rsidRPr="000C03E1">
        <w:t>-2</w:t>
      </w:r>
      <w:r w:rsidR="00A46F1B" w:rsidRPr="000C03E1">
        <w:t>2</w:t>
      </w:r>
      <w:r w:rsidRPr="000C03E1">
        <w:t xml:space="preserve"> are given in Appendix 8 with summary details below: </w:t>
      </w:r>
    </w:p>
    <w:p w:rsidR="00384F34" w:rsidRDefault="00382904" w:rsidP="007E34DD">
      <w:pPr>
        <w:pStyle w:val="ListParagraph"/>
        <w:numPr>
          <w:ilvl w:val="0"/>
          <w:numId w:val="19"/>
        </w:numPr>
        <w:ind w:left="1276" w:right="386" w:hanging="709"/>
      </w:pPr>
      <w:r w:rsidRPr="00EE64F0">
        <w:rPr>
          <w:b/>
        </w:rPr>
        <w:t>Garden waste bins -</w:t>
      </w:r>
      <w:r w:rsidRPr="00CE08C8">
        <w:t xml:space="preserve"> </w:t>
      </w:r>
      <w:r w:rsidR="00CE08C8" w:rsidRPr="00CE08C8">
        <w:t>£54 per year to £57 (5.55%)</w:t>
      </w:r>
      <w:r w:rsidR="006A4A8D">
        <w:t xml:space="preserve"> reduced to (£4</w:t>
      </w:r>
      <w:r w:rsidR="007C0014">
        <w:t>5</w:t>
      </w:r>
      <w:r w:rsidR="006A4A8D">
        <w:t>) of the fee for concessions</w:t>
      </w:r>
      <w:r w:rsidR="00384F34">
        <w:t>. This is a change because currently those on low incomes receive this service free of charge, but in the current context this is no longer affordable.</w:t>
      </w:r>
    </w:p>
    <w:p w:rsidR="00384F34" w:rsidRDefault="00EE64F0" w:rsidP="007E34DD">
      <w:pPr>
        <w:pStyle w:val="ListParagraph"/>
        <w:numPr>
          <w:ilvl w:val="0"/>
          <w:numId w:val="19"/>
        </w:numPr>
        <w:ind w:left="1276" w:right="386" w:hanging="709"/>
      </w:pPr>
      <w:r w:rsidRPr="00EE64F0">
        <w:rPr>
          <w:b/>
        </w:rPr>
        <w:t>B</w:t>
      </w:r>
      <w:r w:rsidR="00384F34" w:rsidRPr="00EE64F0">
        <w:rPr>
          <w:b/>
        </w:rPr>
        <w:t xml:space="preserve">ulky </w:t>
      </w:r>
      <w:r w:rsidRPr="00EE64F0">
        <w:rPr>
          <w:b/>
        </w:rPr>
        <w:t>W</w:t>
      </w:r>
      <w:r w:rsidR="00384F34" w:rsidRPr="00EE64F0">
        <w:rPr>
          <w:b/>
        </w:rPr>
        <w:t>aste</w:t>
      </w:r>
      <w:r w:rsidRPr="00EE64F0">
        <w:rPr>
          <w:b/>
        </w:rPr>
        <w:t xml:space="preserve"> collection</w:t>
      </w:r>
      <w:r w:rsidR="00384F34" w:rsidRPr="00EE64F0">
        <w:rPr>
          <w:b/>
        </w:rPr>
        <w:t>:</w:t>
      </w:r>
      <w:r w:rsidR="00384F34">
        <w:t xml:space="preserve"> Oxford City Council is unusual in not charging for the collection of bulky items of waste, such as mattresses, sofas and fridges.  It is proposed, with regret, to introduce such a charge, at a </w:t>
      </w:r>
      <w:r w:rsidR="00384F34" w:rsidRPr="00EE64F0">
        <w:t xml:space="preserve">level of </w:t>
      </w:r>
      <w:r w:rsidRPr="00EE64F0">
        <w:t>£20 per item and £30 for larger items</w:t>
      </w:r>
      <w:r w:rsidR="00AA2A1B">
        <w:t>, e.g.</w:t>
      </w:r>
      <w:r>
        <w:t xml:space="preserve"> re</w:t>
      </w:r>
      <w:r w:rsidRPr="00EE64F0">
        <w:t>f</w:t>
      </w:r>
      <w:r>
        <w:t>r</w:t>
      </w:r>
      <w:r w:rsidRPr="00EE64F0">
        <w:t>iger</w:t>
      </w:r>
      <w:r>
        <w:t>ators</w:t>
      </w:r>
      <w:r w:rsidR="00AA2A1B">
        <w:t>,</w:t>
      </w:r>
      <w:r w:rsidRPr="00EE64F0">
        <w:t xml:space="preserve"> washing machines </w:t>
      </w:r>
      <w:proofErr w:type="spellStart"/>
      <w:r w:rsidRPr="00EE64F0">
        <w:t>etc</w:t>
      </w:r>
      <w:proofErr w:type="spellEnd"/>
      <w:r>
        <w:t>,</w:t>
      </w:r>
      <w:r w:rsidRPr="00EE64F0">
        <w:t xml:space="preserve"> </w:t>
      </w:r>
      <w:r w:rsidR="00384F34" w:rsidRPr="00EE64F0">
        <w:t xml:space="preserve">reduced to </w:t>
      </w:r>
      <w:r w:rsidRPr="00EE64F0">
        <w:t xml:space="preserve">50% </w:t>
      </w:r>
      <w:r w:rsidR="00384F34" w:rsidRPr="00EE64F0">
        <w:t>for concessions, bringing the City Council into line with most other local authorities</w:t>
      </w:r>
      <w:r w:rsidR="00AA2A1B">
        <w:t>.</w:t>
      </w:r>
    </w:p>
    <w:p w:rsidR="00382904" w:rsidRPr="008B3922" w:rsidRDefault="00382904" w:rsidP="007460FC">
      <w:pPr>
        <w:ind w:left="1276" w:right="386"/>
        <w:rPr>
          <w:b/>
        </w:rPr>
      </w:pPr>
      <w:r w:rsidRPr="008B3922">
        <w:rPr>
          <w:b/>
        </w:rPr>
        <w:t>Leisure activities</w:t>
      </w:r>
      <w:r w:rsidR="007460FC">
        <w:rPr>
          <w:b/>
        </w:rPr>
        <w:t>:</w:t>
      </w:r>
    </w:p>
    <w:p w:rsidR="00382904" w:rsidRDefault="0088155D" w:rsidP="007E34DD">
      <w:pPr>
        <w:pStyle w:val="ListParagraph"/>
        <w:numPr>
          <w:ilvl w:val="0"/>
          <w:numId w:val="19"/>
        </w:numPr>
        <w:ind w:left="1276" w:right="386" w:hanging="709"/>
      </w:pPr>
      <w:r w:rsidRPr="00C02611">
        <w:t>Sports - 40p -£1.3</w:t>
      </w:r>
      <w:r w:rsidR="00382904" w:rsidRPr="00C02611">
        <w:t>0 – (2.</w:t>
      </w:r>
      <w:r w:rsidRPr="00C02611">
        <w:t>58</w:t>
      </w:r>
      <w:r w:rsidR="00382904" w:rsidRPr="00C02611">
        <w:t>% to 3%)</w:t>
      </w:r>
    </w:p>
    <w:p w:rsidR="00B36A83" w:rsidRPr="00B36A83" w:rsidRDefault="00B36A83" w:rsidP="007E34DD">
      <w:pPr>
        <w:pStyle w:val="11"/>
        <w:numPr>
          <w:ilvl w:val="0"/>
          <w:numId w:val="19"/>
        </w:numPr>
        <w:spacing w:after="0"/>
        <w:ind w:left="1276" w:hanging="709"/>
        <w:jc w:val="both"/>
        <w:rPr>
          <w:rFonts w:ascii="Arial" w:hAnsi="Arial" w:cs="Arial"/>
          <w:sz w:val="24"/>
          <w:szCs w:val="24"/>
        </w:rPr>
      </w:pPr>
      <w:r>
        <w:rPr>
          <w:rFonts w:ascii="Arial" w:hAnsi="Arial" w:cs="Arial"/>
          <w:sz w:val="24"/>
          <w:szCs w:val="24"/>
        </w:rPr>
        <w:t xml:space="preserve">Leisure Centres - </w:t>
      </w:r>
      <w:r w:rsidRPr="00B36A83">
        <w:rPr>
          <w:rFonts w:ascii="Arial" w:hAnsi="Arial" w:cs="Arial"/>
          <w:sz w:val="24"/>
          <w:szCs w:val="24"/>
        </w:rPr>
        <w:t xml:space="preserve">The Council is currently in consultation with the Leisure Services provider </w:t>
      </w:r>
      <w:r>
        <w:rPr>
          <w:rFonts w:ascii="Arial" w:hAnsi="Arial" w:cs="Arial"/>
          <w:sz w:val="24"/>
          <w:szCs w:val="24"/>
        </w:rPr>
        <w:t xml:space="preserve">Fusion Lifestyle on the fees and charges for Council owned leisure centres. </w:t>
      </w:r>
      <w:r w:rsidRPr="00B36A83">
        <w:rPr>
          <w:rFonts w:ascii="Arial" w:hAnsi="Arial" w:cs="Arial"/>
          <w:sz w:val="24"/>
          <w:szCs w:val="24"/>
        </w:rPr>
        <w:t xml:space="preserve">In the current climate and until it’s been determined exactly what the medium to longer term safe, viable and sustainable offer in Oxford will look like, it is very difficult for Fusion to propose fees and charges for leisure facilities </w:t>
      </w:r>
      <w:r>
        <w:rPr>
          <w:rFonts w:ascii="Arial" w:hAnsi="Arial" w:cs="Arial"/>
          <w:sz w:val="24"/>
          <w:szCs w:val="24"/>
        </w:rPr>
        <w:t xml:space="preserve">for </w:t>
      </w:r>
      <w:r w:rsidRPr="00B36A83">
        <w:rPr>
          <w:rFonts w:ascii="Arial" w:hAnsi="Arial" w:cs="Arial"/>
          <w:sz w:val="24"/>
          <w:szCs w:val="24"/>
        </w:rPr>
        <w:t>2021/22.</w:t>
      </w:r>
      <w:r>
        <w:rPr>
          <w:rFonts w:ascii="Arial" w:hAnsi="Arial" w:cs="Arial"/>
          <w:sz w:val="24"/>
          <w:szCs w:val="24"/>
        </w:rPr>
        <w:t xml:space="preserve"> It is expected that this can be agreed when the Budget is presented to Cabinet and Council in February. </w:t>
      </w:r>
    </w:p>
    <w:p w:rsidR="000C03E1" w:rsidRPr="000C03E1" w:rsidRDefault="000C03E1" w:rsidP="000C03E1">
      <w:pPr>
        <w:ind w:left="1276" w:right="386"/>
        <w:rPr>
          <w:b/>
        </w:rPr>
      </w:pPr>
      <w:r w:rsidRPr="000C03E1">
        <w:rPr>
          <w:b/>
        </w:rPr>
        <w:t>Other</w:t>
      </w:r>
    </w:p>
    <w:p w:rsidR="00382904" w:rsidRPr="00C02611" w:rsidRDefault="00382904" w:rsidP="007E34DD">
      <w:pPr>
        <w:numPr>
          <w:ilvl w:val="0"/>
          <w:numId w:val="19"/>
        </w:numPr>
        <w:ind w:left="1276" w:right="386" w:hanging="709"/>
      </w:pPr>
      <w:r w:rsidRPr="00C02611">
        <w:t>Pest Control</w:t>
      </w:r>
      <w:r w:rsidR="00C02611" w:rsidRPr="00C02611">
        <w:t xml:space="preserve"> – domestic-</w:t>
      </w:r>
      <w:r w:rsidRPr="00C02611">
        <w:t xml:space="preserve"> increases – </w:t>
      </w:r>
      <w:r w:rsidR="00C02611" w:rsidRPr="00C02611">
        <w:t>£2 to £6 (3% - 5%)</w:t>
      </w:r>
    </w:p>
    <w:p w:rsidR="0088155D" w:rsidRPr="00C02611" w:rsidRDefault="0088155D" w:rsidP="007E34DD">
      <w:pPr>
        <w:numPr>
          <w:ilvl w:val="0"/>
          <w:numId w:val="19"/>
        </w:numPr>
        <w:ind w:left="1276" w:right="386" w:hanging="709"/>
      </w:pPr>
      <w:r w:rsidRPr="00C02611">
        <w:t>General licencing – zero</w:t>
      </w:r>
    </w:p>
    <w:p w:rsidR="0088155D" w:rsidRPr="00C02611" w:rsidRDefault="0088155D" w:rsidP="007E34DD">
      <w:pPr>
        <w:numPr>
          <w:ilvl w:val="0"/>
          <w:numId w:val="19"/>
        </w:numPr>
        <w:ind w:left="1276" w:right="386" w:hanging="709"/>
      </w:pPr>
      <w:r w:rsidRPr="00C02611">
        <w:t>Building control – zero</w:t>
      </w:r>
    </w:p>
    <w:p w:rsidR="0088155D" w:rsidRPr="00C02611" w:rsidRDefault="0088155D" w:rsidP="007E34DD">
      <w:pPr>
        <w:numPr>
          <w:ilvl w:val="0"/>
          <w:numId w:val="19"/>
        </w:numPr>
        <w:ind w:left="1276" w:right="386" w:hanging="709"/>
      </w:pPr>
      <w:r w:rsidRPr="00C02611">
        <w:t>Off street car parks and park and ride - zero</w:t>
      </w:r>
    </w:p>
    <w:p w:rsidR="00382904" w:rsidRPr="00C02611" w:rsidRDefault="00382904" w:rsidP="007E34DD">
      <w:pPr>
        <w:numPr>
          <w:ilvl w:val="0"/>
          <w:numId w:val="19"/>
        </w:numPr>
        <w:ind w:left="1276" w:right="386" w:hanging="709"/>
      </w:pPr>
      <w:r w:rsidRPr="00C02611">
        <w:t>Cemeteries adult right of burial £</w:t>
      </w:r>
      <w:r w:rsidR="00C02611" w:rsidRPr="00C02611">
        <w:t>3</w:t>
      </w:r>
      <w:r w:rsidRPr="00C02611">
        <w:t>0 (</w:t>
      </w:r>
      <w:r w:rsidR="00C02611" w:rsidRPr="00C02611">
        <w:t>3</w:t>
      </w:r>
      <w:r w:rsidRPr="00C02611">
        <w:t xml:space="preserve">%) </w:t>
      </w:r>
    </w:p>
    <w:p w:rsidR="00382904" w:rsidRPr="00581147" w:rsidRDefault="00382904" w:rsidP="007E34DD">
      <w:pPr>
        <w:numPr>
          <w:ilvl w:val="0"/>
          <w:numId w:val="19"/>
        </w:numPr>
        <w:ind w:left="1276" w:right="386" w:hanging="709"/>
      </w:pPr>
      <w:r w:rsidRPr="00581147">
        <w:t xml:space="preserve">Garages – </w:t>
      </w:r>
      <w:r w:rsidR="00581147" w:rsidRPr="00581147">
        <w:t>zero</w:t>
      </w:r>
    </w:p>
    <w:p w:rsidR="00382904" w:rsidRPr="00000222" w:rsidRDefault="00382904" w:rsidP="00382904">
      <w:pPr>
        <w:tabs>
          <w:tab w:val="left" w:pos="1276"/>
        </w:tabs>
        <w:spacing w:after="120"/>
        <w:ind w:left="720" w:right="386"/>
        <w:rPr>
          <w:highlight w:val="yellow"/>
        </w:rPr>
      </w:pPr>
    </w:p>
    <w:p w:rsidR="00B976BC" w:rsidRPr="00000222" w:rsidRDefault="00B976BC" w:rsidP="00B976BC">
      <w:pPr>
        <w:pStyle w:val="ListParagraph"/>
        <w:tabs>
          <w:tab w:val="left" w:pos="540"/>
        </w:tabs>
        <w:ind w:left="709" w:right="386"/>
        <w:rPr>
          <w:rFonts w:cs="Arial"/>
          <w:highlight w:val="yellow"/>
        </w:rPr>
      </w:pPr>
    </w:p>
    <w:p w:rsidR="005A3480" w:rsidRDefault="005A3480" w:rsidP="007E34DD">
      <w:pPr>
        <w:pStyle w:val="ListParagraph"/>
        <w:numPr>
          <w:ilvl w:val="0"/>
          <w:numId w:val="49"/>
        </w:numPr>
        <w:tabs>
          <w:tab w:val="left" w:pos="1701"/>
        </w:tabs>
        <w:ind w:right="386" w:hanging="720"/>
        <w:rPr>
          <w:rFonts w:cs="Arial"/>
        </w:rPr>
      </w:pPr>
      <w:r w:rsidRPr="00F71442">
        <w:rPr>
          <w:rFonts w:cs="Arial"/>
          <w:b/>
        </w:rPr>
        <w:t xml:space="preserve">Town Hall </w:t>
      </w:r>
      <w:r w:rsidR="00A40EA6" w:rsidRPr="00F71442">
        <w:rPr>
          <w:rFonts w:cs="Arial"/>
          <w:b/>
        </w:rPr>
        <w:t>–</w:t>
      </w:r>
      <w:r w:rsidRPr="00F71442">
        <w:rPr>
          <w:rFonts w:cs="Arial"/>
          <w:b/>
        </w:rPr>
        <w:t xml:space="preserve"> </w:t>
      </w:r>
      <w:r w:rsidR="00F71442" w:rsidRPr="00F71442">
        <w:rPr>
          <w:rFonts w:cs="Arial"/>
        </w:rPr>
        <w:t>The loss of income in 2020-21 arising from th</w:t>
      </w:r>
      <w:r w:rsidR="00F71442">
        <w:rPr>
          <w:rFonts w:cs="Arial"/>
        </w:rPr>
        <w:t>e</w:t>
      </w:r>
      <w:r w:rsidR="00F71442" w:rsidRPr="00F71442">
        <w:rPr>
          <w:rFonts w:cs="Arial"/>
        </w:rPr>
        <w:t xml:space="preserve"> pandemic is around £850k (85% of annual income) or £536k net of expenditure savings, in 2021-22 this net loss is estimated at around £561k and in 2022-23 to £200k before returning to normal in 2</w:t>
      </w:r>
      <w:r w:rsidR="00F71442">
        <w:rPr>
          <w:rFonts w:cs="Arial"/>
        </w:rPr>
        <w:t>0</w:t>
      </w:r>
      <w:r w:rsidR="00F71442" w:rsidRPr="00F71442">
        <w:rPr>
          <w:rFonts w:cs="Arial"/>
        </w:rPr>
        <w:t xml:space="preserve">23-24.  </w:t>
      </w:r>
    </w:p>
    <w:p w:rsidR="007460FC" w:rsidRPr="00F71442" w:rsidRDefault="007460FC" w:rsidP="007460FC">
      <w:pPr>
        <w:pStyle w:val="ListParagraph"/>
        <w:tabs>
          <w:tab w:val="left" w:pos="1701"/>
        </w:tabs>
        <w:ind w:left="567" w:right="386"/>
        <w:rPr>
          <w:rFonts w:cs="Arial"/>
        </w:rPr>
      </w:pPr>
    </w:p>
    <w:p w:rsidR="00C25AEC" w:rsidRPr="00CD6E68" w:rsidRDefault="007E34DD" w:rsidP="0059731B">
      <w:pPr>
        <w:tabs>
          <w:tab w:val="left" w:pos="709"/>
          <w:tab w:val="left" w:pos="8080"/>
        </w:tabs>
        <w:ind w:left="709" w:right="934" w:hanging="709"/>
        <w:jc w:val="both"/>
        <w:rPr>
          <w:rFonts w:cs="Arial"/>
        </w:rPr>
      </w:pPr>
      <w:r>
        <w:rPr>
          <w:rFonts w:cs="Arial"/>
          <w:b/>
        </w:rPr>
        <w:t>49</w:t>
      </w:r>
      <w:r w:rsidR="0059731B">
        <w:rPr>
          <w:rFonts w:cs="Arial"/>
          <w:b/>
        </w:rPr>
        <w:t xml:space="preserve">      </w:t>
      </w:r>
      <w:r w:rsidR="005A3480" w:rsidRPr="00C25AEC">
        <w:rPr>
          <w:rFonts w:cs="Arial"/>
          <w:b/>
        </w:rPr>
        <w:t xml:space="preserve">Commercial Property Income </w:t>
      </w:r>
      <w:r w:rsidR="00493350" w:rsidRPr="00C25AEC">
        <w:rPr>
          <w:rFonts w:cs="Arial"/>
          <w:b/>
        </w:rPr>
        <w:t>–</w:t>
      </w:r>
      <w:r w:rsidR="005A3480" w:rsidRPr="00C25AEC">
        <w:rPr>
          <w:rFonts w:cs="Arial"/>
          <w:b/>
        </w:rPr>
        <w:t xml:space="preserve"> </w:t>
      </w:r>
      <w:r w:rsidR="00F71442" w:rsidRPr="00C25AEC">
        <w:rPr>
          <w:rFonts w:cs="Arial"/>
        </w:rPr>
        <w:t>Loss of income arising from the pandemic is forecast as £4.2 million in 2020-21 (24% of income) £3.7 million in 2021-</w:t>
      </w:r>
      <w:r w:rsidR="00F71442" w:rsidRPr="00CD6E68">
        <w:rPr>
          <w:rFonts w:cs="Arial"/>
        </w:rPr>
        <w:t xml:space="preserve">22, £1.9 million in 2022-23 before returning to a more stable position albeit £2million ongoing loss thereafter. </w:t>
      </w:r>
    </w:p>
    <w:p w:rsidR="00C25AEC" w:rsidRPr="00CD6E68" w:rsidRDefault="00C25AEC" w:rsidP="00C25AEC">
      <w:pPr>
        <w:tabs>
          <w:tab w:val="left" w:pos="8080"/>
        </w:tabs>
        <w:ind w:left="709" w:right="934"/>
        <w:jc w:val="both"/>
      </w:pPr>
    </w:p>
    <w:p w:rsidR="00F71442" w:rsidRDefault="00F71442" w:rsidP="007E34DD">
      <w:pPr>
        <w:pStyle w:val="ListParagraph"/>
        <w:numPr>
          <w:ilvl w:val="0"/>
          <w:numId w:val="50"/>
        </w:numPr>
        <w:tabs>
          <w:tab w:val="left" w:pos="1701"/>
        </w:tabs>
        <w:ind w:right="386" w:hanging="720"/>
        <w:rPr>
          <w:rFonts w:cs="Arial"/>
        </w:rPr>
      </w:pPr>
      <w:r>
        <w:rPr>
          <w:rFonts w:cs="Arial"/>
          <w:b/>
        </w:rPr>
        <w:t>Car parking income-</w:t>
      </w:r>
      <w:r>
        <w:rPr>
          <w:rFonts w:cs="Arial"/>
        </w:rPr>
        <w:t xml:space="preserve"> Car parking in come is estimated to be £2.8 million down in comparison to </w:t>
      </w:r>
      <w:r w:rsidR="003425F0">
        <w:rPr>
          <w:rFonts w:cs="Arial"/>
        </w:rPr>
        <w:t xml:space="preserve">the </w:t>
      </w:r>
      <w:r>
        <w:rPr>
          <w:rFonts w:cs="Arial"/>
        </w:rPr>
        <w:t>budget</w:t>
      </w:r>
      <w:r w:rsidR="003425F0">
        <w:rPr>
          <w:rFonts w:cs="Arial"/>
        </w:rPr>
        <w:t>ed income</w:t>
      </w:r>
      <w:r>
        <w:rPr>
          <w:rFonts w:cs="Arial"/>
        </w:rPr>
        <w:t xml:space="preserve"> in 2020-21 </w:t>
      </w:r>
      <w:r w:rsidR="009F4348">
        <w:rPr>
          <w:rFonts w:cs="Arial"/>
        </w:rPr>
        <w:t>(46% of gross income). A loss of £1.5 million is expected in 2021-22 followed by a small loss of £100k in 2022-23 before returning to normal. No fee increases are anticipated over this four year period</w:t>
      </w:r>
      <w:r w:rsidR="00BD2F96">
        <w:rPr>
          <w:rFonts w:cs="Arial"/>
        </w:rPr>
        <w:t>.</w:t>
      </w:r>
    </w:p>
    <w:p w:rsidR="007460FC" w:rsidRPr="007460FC" w:rsidRDefault="00957157" w:rsidP="00957157">
      <w:pPr>
        <w:tabs>
          <w:tab w:val="left" w:pos="1701"/>
        </w:tabs>
        <w:ind w:right="386"/>
        <w:rPr>
          <w:rFonts w:cs="Arial"/>
        </w:rPr>
      </w:pPr>
      <w:r>
        <w:rPr>
          <w:rFonts w:cs="Arial"/>
        </w:rPr>
        <w:tab/>
      </w:r>
    </w:p>
    <w:p w:rsidR="00FE28D3" w:rsidRDefault="00483BAF" w:rsidP="007E34DD">
      <w:pPr>
        <w:pStyle w:val="ListParagraph"/>
        <w:numPr>
          <w:ilvl w:val="0"/>
          <w:numId w:val="50"/>
        </w:numPr>
        <w:tabs>
          <w:tab w:val="left" w:pos="1701"/>
        </w:tabs>
        <w:ind w:left="567" w:right="386" w:hanging="567"/>
        <w:rPr>
          <w:rFonts w:cs="Arial"/>
        </w:rPr>
      </w:pPr>
      <w:r w:rsidRPr="00AA7BFB">
        <w:rPr>
          <w:rFonts w:cs="Arial"/>
          <w:b/>
        </w:rPr>
        <w:t>Selective</w:t>
      </w:r>
      <w:r w:rsidR="00FE28D3" w:rsidRPr="00AA7BFB">
        <w:rPr>
          <w:rFonts w:cs="Arial"/>
          <w:b/>
        </w:rPr>
        <w:t xml:space="preserve"> Licensing - </w:t>
      </w:r>
      <w:r w:rsidR="00A40EA6" w:rsidRPr="00AA7BFB">
        <w:rPr>
          <w:rFonts w:cs="Arial"/>
        </w:rPr>
        <w:t xml:space="preserve">Oxford </w:t>
      </w:r>
      <w:r w:rsidR="006106F5" w:rsidRPr="00AA7BFB">
        <w:rPr>
          <w:rFonts w:cs="Arial"/>
        </w:rPr>
        <w:t>will propose a Selective Licensing Scheme for privately rented housing</w:t>
      </w:r>
      <w:r w:rsidR="00AA7BFB" w:rsidRPr="00AA7BFB">
        <w:rPr>
          <w:rFonts w:cs="Arial"/>
        </w:rPr>
        <w:t xml:space="preserve"> operational with effect from 1</w:t>
      </w:r>
      <w:r w:rsidR="003425F0">
        <w:rPr>
          <w:rFonts w:cs="Arial"/>
        </w:rPr>
        <w:t xml:space="preserve"> April </w:t>
      </w:r>
      <w:r w:rsidR="00AA7BFB" w:rsidRPr="00AA7BFB">
        <w:rPr>
          <w:rFonts w:cs="Arial"/>
        </w:rPr>
        <w:t>2022</w:t>
      </w:r>
      <w:r w:rsidR="006106F5" w:rsidRPr="00AA7BFB">
        <w:rPr>
          <w:rFonts w:cs="Arial"/>
        </w:rPr>
        <w:t>.  T</w:t>
      </w:r>
      <w:r w:rsidR="00A40EA6" w:rsidRPr="00AA7BFB">
        <w:rPr>
          <w:rFonts w:cs="Arial"/>
        </w:rPr>
        <w:t xml:space="preserve">he primary reason </w:t>
      </w:r>
      <w:r w:rsidR="006106F5" w:rsidRPr="00AA7BFB">
        <w:rPr>
          <w:rFonts w:cs="Arial"/>
        </w:rPr>
        <w:t>is</w:t>
      </w:r>
      <w:r w:rsidR="00A40EA6" w:rsidRPr="00AA7BFB">
        <w:rPr>
          <w:rFonts w:cs="Arial"/>
        </w:rPr>
        <w:t xml:space="preserve"> </w:t>
      </w:r>
      <w:r w:rsidR="00E44D0A" w:rsidRPr="00AA7BFB">
        <w:rPr>
          <w:rFonts w:cs="Arial"/>
        </w:rPr>
        <w:t xml:space="preserve">to </w:t>
      </w:r>
      <w:r w:rsidR="00A40EA6" w:rsidRPr="00AA7BFB">
        <w:rPr>
          <w:rFonts w:cs="Arial"/>
        </w:rPr>
        <w:t xml:space="preserve">deal with poor property conditions. </w:t>
      </w:r>
      <w:r w:rsidR="003175D7" w:rsidRPr="00AA7BFB">
        <w:rPr>
          <w:rFonts w:cs="Arial"/>
        </w:rPr>
        <w:t xml:space="preserve">This route </w:t>
      </w:r>
      <w:r w:rsidR="00C962C9" w:rsidRPr="00AA7BFB">
        <w:rPr>
          <w:rFonts w:cs="Arial"/>
        </w:rPr>
        <w:t xml:space="preserve">which would be subject to confirmation from the Secretary of State </w:t>
      </w:r>
      <w:r w:rsidR="003175D7" w:rsidRPr="00AA7BFB">
        <w:rPr>
          <w:rFonts w:cs="Arial"/>
        </w:rPr>
        <w:t>will be considered by the Council</w:t>
      </w:r>
      <w:r w:rsidR="003425F0">
        <w:rPr>
          <w:rFonts w:cs="Arial"/>
        </w:rPr>
        <w:t xml:space="preserve"> separately. I</w:t>
      </w:r>
      <w:r w:rsidR="003175D7" w:rsidRPr="00AA7BFB">
        <w:rPr>
          <w:rFonts w:cs="Arial"/>
        </w:rPr>
        <w:t xml:space="preserve">ncome from multi-year license fees would make a significant contribution towards overheads.  </w:t>
      </w:r>
    </w:p>
    <w:p w:rsidR="007460FC" w:rsidRPr="007460FC" w:rsidRDefault="007460FC" w:rsidP="007460FC">
      <w:pPr>
        <w:tabs>
          <w:tab w:val="left" w:pos="1701"/>
        </w:tabs>
        <w:ind w:right="386"/>
        <w:rPr>
          <w:rFonts w:cs="Arial"/>
        </w:rPr>
      </w:pPr>
    </w:p>
    <w:p w:rsidR="00FE28D3" w:rsidRDefault="00FE28D3" w:rsidP="007E34DD">
      <w:pPr>
        <w:pStyle w:val="ListParagraph"/>
        <w:numPr>
          <w:ilvl w:val="0"/>
          <w:numId w:val="50"/>
        </w:numPr>
        <w:tabs>
          <w:tab w:val="left" w:pos="1701"/>
        </w:tabs>
        <w:ind w:left="567" w:hanging="567"/>
        <w:rPr>
          <w:rFonts w:cs="Arial"/>
        </w:rPr>
      </w:pPr>
      <w:r w:rsidRPr="00AA7BFB">
        <w:rPr>
          <w:rFonts w:cs="Arial"/>
          <w:b/>
        </w:rPr>
        <w:t>Planning income and planning performance agreements</w:t>
      </w:r>
      <w:r w:rsidRPr="00AA7BFB">
        <w:rPr>
          <w:rFonts w:cs="Arial"/>
        </w:rPr>
        <w:t xml:space="preserve"> </w:t>
      </w:r>
      <w:r w:rsidR="005B65DE" w:rsidRPr="00AA7BFB">
        <w:rPr>
          <w:rFonts w:cs="Arial"/>
        </w:rPr>
        <w:t xml:space="preserve">–Taking this more proactive approach and with the employment of an additional </w:t>
      </w:r>
      <w:r w:rsidR="00AA7BFB" w:rsidRPr="00AA7BFB">
        <w:rPr>
          <w:rFonts w:cs="Arial"/>
        </w:rPr>
        <w:t>5</w:t>
      </w:r>
      <w:r w:rsidR="005B65DE" w:rsidRPr="00AA7BFB">
        <w:rPr>
          <w:rFonts w:cs="Arial"/>
        </w:rPr>
        <w:t xml:space="preserve"> additional staff it is estimated </w:t>
      </w:r>
      <w:r w:rsidR="004952C8" w:rsidRPr="00AA7BFB">
        <w:rPr>
          <w:rFonts w:cs="Arial"/>
        </w:rPr>
        <w:t xml:space="preserve">the Council </w:t>
      </w:r>
      <w:r w:rsidR="005B65DE" w:rsidRPr="00AA7BFB">
        <w:rPr>
          <w:rFonts w:cs="Arial"/>
        </w:rPr>
        <w:t xml:space="preserve">could </w:t>
      </w:r>
      <w:r w:rsidR="003F1BF1">
        <w:rPr>
          <w:rFonts w:cs="Arial"/>
        </w:rPr>
        <w:t>cover</w:t>
      </w:r>
      <w:r w:rsidR="005B65DE" w:rsidRPr="00AA7BFB">
        <w:rPr>
          <w:rFonts w:cs="Arial"/>
        </w:rPr>
        <w:t xml:space="preserve"> additional net </w:t>
      </w:r>
      <w:r w:rsidR="0041729E" w:rsidRPr="00AA7BFB">
        <w:rPr>
          <w:rFonts w:cs="Arial"/>
        </w:rPr>
        <w:t xml:space="preserve">income of </w:t>
      </w:r>
      <w:r w:rsidR="005B65DE" w:rsidRPr="00AA7BFB">
        <w:rPr>
          <w:rFonts w:cs="Arial"/>
        </w:rPr>
        <w:t>around £</w:t>
      </w:r>
      <w:r w:rsidR="00AA7BFB" w:rsidRPr="00AA7BFB">
        <w:rPr>
          <w:rFonts w:cs="Arial"/>
        </w:rPr>
        <w:t>215</w:t>
      </w:r>
      <w:r w:rsidR="005B65DE" w:rsidRPr="00AA7BFB">
        <w:rPr>
          <w:rFonts w:cs="Arial"/>
        </w:rPr>
        <w:t>k per annum f</w:t>
      </w:r>
      <w:r w:rsidRPr="00AA7BFB">
        <w:rPr>
          <w:rFonts w:cs="Arial"/>
        </w:rPr>
        <w:t>rom 202</w:t>
      </w:r>
      <w:r w:rsidR="00AA7BFB" w:rsidRPr="00AA7BFB">
        <w:rPr>
          <w:rFonts w:cs="Arial"/>
        </w:rPr>
        <w:t>1</w:t>
      </w:r>
      <w:r w:rsidRPr="00AA7BFB">
        <w:rPr>
          <w:rFonts w:cs="Arial"/>
        </w:rPr>
        <w:t>-2</w:t>
      </w:r>
      <w:r w:rsidR="00AA7BFB" w:rsidRPr="00AA7BFB">
        <w:rPr>
          <w:rFonts w:cs="Arial"/>
        </w:rPr>
        <w:t>2</w:t>
      </w:r>
      <w:r w:rsidR="0041729E" w:rsidRPr="00AA7BFB">
        <w:rPr>
          <w:rFonts w:cs="Arial"/>
        </w:rPr>
        <w:t xml:space="preserve"> </w:t>
      </w:r>
      <w:r w:rsidR="003F1BF1" w:rsidRPr="002449EF">
        <w:rPr>
          <w:rFonts w:cs="Arial"/>
        </w:rPr>
        <w:t>of existing fixed costs also required to deliver against the</w:t>
      </w:r>
      <w:r w:rsidR="003F1BF1">
        <w:rPr>
          <w:rFonts w:cs="Arial"/>
        </w:rPr>
        <w:t>se</w:t>
      </w:r>
      <w:r w:rsidR="003F1BF1" w:rsidRPr="002449EF">
        <w:rPr>
          <w:rFonts w:cs="Arial"/>
        </w:rPr>
        <w:t xml:space="preserve"> planning performance agreements. </w:t>
      </w:r>
    </w:p>
    <w:p w:rsidR="007460FC" w:rsidRPr="007460FC" w:rsidRDefault="007460FC" w:rsidP="007460FC">
      <w:pPr>
        <w:tabs>
          <w:tab w:val="left" w:pos="1701"/>
        </w:tabs>
        <w:rPr>
          <w:rFonts w:cs="Arial"/>
        </w:rPr>
      </w:pPr>
    </w:p>
    <w:p w:rsidR="00A84681" w:rsidRDefault="00A84681" w:rsidP="007E34DD">
      <w:pPr>
        <w:pStyle w:val="ListParagraph"/>
        <w:numPr>
          <w:ilvl w:val="0"/>
          <w:numId w:val="50"/>
        </w:numPr>
        <w:tabs>
          <w:tab w:val="left" w:pos="1701"/>
        </w:tabs>
        <w:ind w:left="567" w:right="386" w:hanging="567"/>
        <w:rPr>
          <w:rFonts w:cs="Arial"/>
        </w:rPr>
      </w:pPr>
      <w:r w:rsidRPr="00AA7BFB">
        <w:rPr>
          <w:rFonts w:cs="Arial"/>
          <w:b/>
        </w:rPr>
        <w:t>Museums Income -</w:t>
      </w:r>
      <w:r w:rsidRPr="00AA7BFB">
        <w:rPr>
          <w:rFonts w:cs="Arial"/>
        </w:rPr>
        <w:t xml:space="preserve"> £100k per annum. New income streams are proposed following the refurbishment of the museum w</w:t>
      </w:r>
      <w:r w:rsidR="004952C8" w:rsidRPr="00AA7BFB">
        <w:rPr>
          <w:rFonts w:cs="Arial"/>
        </w:rPr>
        <w:t>hich is currently taking place.</w:t>
      </w:r>
    </w:p>
    <w:p w:rsidR="007460FC" w:rsidRPr="007460FC" w:rsidRDefault="007460FC" w:rsidP="007460FC">
      <w:pPr>
        <w:pStyle w:val="ListParagraph"/>
        <w:rPr>
          <w:rFonts w:cs="Arial"/>
        </w:rPr>
      </w:pPr>
    </w:p>
    <w:p w:rsidR="007460FC" w:rsidRPr="007460FC" w:rsidRDefault="007460FC" w:rsidP="007460FC">
      <w:pPr>
        <w:tabs>
          <w:tab w:val="left" w:pos="1701"/>
        </w:tabs>
        <w:ind w:right="386"/>
        <w:rPr>
          <w:rFonts w:cs="Arial"/>
        </w:rPr>
      </w:pPr>
    </w:p>
    <w:p w:rsidR="009F4348" w:rsidRPr="00AA7BFB" w:rsidRDefault="009F4348" w:rsidP="007E34DD">
      <w:pPr>
        <w:pStyle w:val="ListParagraph"/>
        <w:numPr>
          <w:ilvl w:val="0"/>
          <w:numId w:val="50"/>
        </w:numPr>
        <w:tabs>
          <w:tab w:val="left" w:pos="1701"/>
        </w:tabs>
        <w:ind w:left="567" w:right="386" w:hanging="567"/>
        <w:rPr>
          <w:rFonts w:cs="Arial"/>
        </w:rPr>
      </w:pPr>
      <w:r>
        <w:rPr>
          <w:rFonts w:cs="Arial"/>
          <w:b/>
        </w:rPr>
        <w:t>Other income –</w:t>
      </w:r>
      <w:r>
        <w:rPr>
          <w:rFonts w:cs="Arial"/>
        </w:rPr>
        <w:t xml:space="preserve"> losses of income arising from the pandemic are expected from community centre rents, events, street trading licenses and building control although these are largely expected to return to normal levels in 2022-23</w:t>
      </w:r>
      <w:r w:rsidR="00BD2F96">
        <w:rPr>
          <w:rFonts w:cs="Arial"/>
        </w:rPr>
        <w:t>.</w:t>
      </w:r>
    </w:p>
    <w:p w:rsidR="005A3480" w:rsidRPr="00000222" w:rsidRDefault="005A3480" w:rsidP="00B80EBF">
      <w:pPr>
        <w:tabs>
          <w:tab w:val="left" w:pos="540"/>
        </w:tabs>
        <w:ind w:right="386"/>
        <w:rPr>
          <w:rFonts w:cs="Arial"/>
          <w:b/>
          <w:highlight w:val="yellow"/>
        </w:rPr>
      </w:pPr>
    </w:p>
    <w:p w:rsidR="005A3480" w:rsidRPr="005101BD" w:rsidRDefault="00B976BC" w:rsidP="00B80EBF">
      <w:pPr>
        <w:pStyle w:val="ListParagraph"/>
        <w:tabs>
          <w:tab w:val="left" w:pos="540"/>
        </w:tabs>
        <w:ind w:left="0" w:right="386"/>
        <w:rPr>
          <w:rFonts w:cs="Arial"/>
          <w:b/>
        </w:rPr>
      </w:pPr>
      <w:r w:rsidRPr="005101BD">
        <w:rPr>
          <w:rFonts w:cs="Arial"/>
          <w:b/>
        </w:rPr>
        <w:t>New</w:t>
      </w:r>
      <w:r w:rsidR="00FE28D3" w:rsidRPr="005101BD">
        <w:rPr>
          <w:rFonts w:cs="Arial"/>
          <w:b/>
        </w:rPr>
        <w:t xml:space="preserve"> Expenditure</w:t>
      </w:r>
    </w:p>
    <w:p w:rsidR="00B976BC" w:rsidRPr="005101BD" w:rsidRDefault="00B976BC" w:rsidP="00B80EBF">
      <w:pPr>
        <w:pStyle w:val="ListParagraph"/>
        <w:tabs>
          <w:tab w:val="left" w:pos="540"/>
        </w:tabs>
        <w:ind w:left="0" w:right="386"/>
        <w:rPr>
          <w:rFonts w:cs="Arial"/>
          <w:b/>
        </w:rPr>
      </w:pPr>
    </w:p>
    <w:p w:rsidR="00B80EBF" w:rsidRPr="005101BD" w:rsidRDefault="005F15AB" w:rsidP="007E34DD">
      <w:pPr>
        <w:pStyle w:val="ListParagraph"/>
        <w:numPr>
          <w:ilvl w:val="0"/>
          <w:numId w:val="50"/>
        </w:numPr>
        <w:ind w:left="567" w:right="386" w:hanging="567"/>
        <w:rPr>
          <w:rFonts w:cs="Arial"/>
        </w:rPr>
      </w:pPr>
      <w:r w:rsidRPr="005101BD">
        <w:rPr>
          <w:rFonts w:cs="Arial"/>
        </w:rPr>
        <w:t>Increased expenditure totalling £</w:t>
      </w:r>
      <w:r w:rsidR="009F222D" w:rsidRPr="005101BD">
        <w:rPr>
          <w:rFonts w:cs="Arial"/>
        </w:rPr>
        <w:t>1.</w:t>
      </w:r>
      <w:r w:rsidR="005101BD" w:rsidRPr="005101BD">
        <w:rPr>
          <w:rFonts w:cs="Arial"/>
        </w:rPr>
        <w:t>4</w:t>
      </w:r>
      <w:r w:rsidR="00315255" w:rsidRPr="005101BD">
        <w:rPr>
          <w:rFonts w:cs="Arial"/>
        </w:rPr>
        <w:t xml:space="preserve"> million </w:t>
      </w:r>
      <w:r w:rsidRPr="005101BD">
        <w:rPr>
          <w:rFonts w:cs="Arial"/>
        </w:rPr>
        <w:t xml:space="preserve">is estimated over the </w:t>
      </w:r>
      <w:r w:rsidR="003425F0">
        <w:rPr>
          <w:rFonts w:cs="Arial"/>
        </w:rPr>
        <w:t>four</w:t>
      </w:r>
      <w:r w:rsidRPr="005101BD">
        <w:rPr>
          <w:rFonts w:cs="Arial"/>
        </w:rPr>
        <w:t xml:space="preserve"> year period</w:t>
      </w:r>
      <w:r w:rsidR="006106F5" w:rsidRPr="005101BD">
        <w:rPr>
          <w:rFonts w:cs="Arial"/>
        </w:rPr>
        <w:t xml:space="preserve">, </w:t>
      </w:r>
      <w:r w:rsidR="005101BD" w:rsidRPr="005101BD">
        <w:rPr>
          <w:rFonts w:cs="Arial"/>
        </w:rPr>
        <w:t>with ongoing spend of £0.240 million fr</w:t>
      </w:r>
      <w:r w:rsidR="00670D01">
        <w:rPr>
          <w:rFonts w:cs="Arial"/>
        </w:rPr>
        <w:t>o</w:t>
      </w:r>
      <w:r w:rsidR="00E51756">
        <w:rPr>
          <w:rFonts w:cs="Arial"/>
        </w:rPr>
        <w:t>m 2024-25 onwards. Within th</w:t>
      </w:r>
      <w:r w:rsidR="003425F0">
        <w:rPr>
          <w:rFonts w:cs="Arial"/>
        </w:rPr>
        <w:t>is</w:t>
      </w:r>
      <w:r w:rsidR="00E51756">
        <w:rPr>
          <w:rFonts w:cs="Arial"/>
        </w:rPr>
        <w:t xml:space="preserve"> there is expenditure in relation to items of growth agreed at Council in </w:t>
      </w:r>
      <w:r w:rsidR="000833D1">
        <w:rPr>
          <w:rFonts w:cs="Arial"/>
        </w:rPr>
        <w:t>February</w:t>
      </w:r>
      <w:r w:rsidR="00E51756">
        <w:rPr>
          <w:rFonts w:cs="Arial"/>
        </w:rPr>
        <w:t xml:space="preserve"> 2020 for 2020-21 that Cabinet subsequently paused when they </w:t>
      </w:r>
      <w:r w:rsidR="000833D1">
        <w:rPr>
          <w:rFonts w:cs="Arial"/>
        </w:rPr>
        <w:t>received</w:t>
      </w:r>
      <w:r w:rsidR="00E51756">
        <w:rPr>
          <w:rFonts w:cs="Arial"/>
        </w:rPr>
        <w:t xml:space="preserve"> a budget update on </w:t>
      </w:r>
      <w:r w:rsidR="006734E6">
        <w:rPr>
          <w:rFonts w:cs="Arial"/>
        </w:rPr>
        <w:t>24th</w:t>
      </w:r>
      <w:r w:rsidR="00E51756">
        <w:rPr>
          <w:rFonts w:cs="Arial"/>
        </w:rPr>
        <w:t xml:space="preserve"> June</w:t>
      </w:r>
      <w:r w:rsidR="003425F0">
        <w:rPr>
          <w:rFonts w:cs="Arial"/>
        </w:rPr>
        <w:t xml:space="preserve"> 2020</w:t>
      </w:r>
      <w:r w:rsidR="00E51756">
        <w:rPr>
          <w:rFonts w:cs="Arial"/>
        </w:rPr>
        <w:t xml:space="preserve">. Some of these items are ‘time critical’ and given that the Councils financial position is a little clearer than it was in June </w:t>
      </w:r>
      <w:r w:rsidR="003425F0">
        <w:rPr>
          <w:rFonts w:cs="Arial"/>
        </w:rPr>
        <w:t xml:space="preserve">2020 </w:t>
      </w:r>
      <w:r w:rsidR="00E51756">
        <w:rPr>
          <w:rFonts w:cs="Arial"/>
        </w:rPr>
        <w:t xml:space="preserve">the recommendation is that these items are immediately </w:t>
      </w:r>
      <w:proofErr w:type="spellStart"/>
      <w:r w:rsidR="00E51756">
        <w:rPr>
          <w:rFonts w:cs="Arial"/>
        </w:rPr>
        <w:t>unpaused</w:t>
      </w:r>
      <w:proofErr w:type="spellEnd"/>
      <w:r w:rsidR="00E51756">
        <w:rPr>
          <w:rFonts w:cs="Arial"/>
        </w:rPr>
        <w:t xml:space="preserve">. All significant items of new spend are shown below with those that are recommended for immediately unpausing separately identified. </w:t>
      </w:r>
    </w:p>
    <w:p w:rsidR="00B976BC" w:rsidRDefault="00B976BC" w:rsidP="00C842F0">
      <w:pPr>
        <w:ind w:right="386"/>
        <w:rPr>
          <w:rFonts w:cs="Arial"/>
        </w:rPr>
      </w:pPr>
    </w:p>
    <w:p w:rsidR="00E51756" w:rsidRPr="0021079A" w:rsidRDefault="00E51756" w:rsidP="00E51756">
      <w:pPr>
        <w:ind w:left="567" w:right="386"/>
        <w:rPr>
          <w:rFonts w:cs="Arial"/>
          <w:b/>
        </w:rPr>
      </w:pPr>
      <w:r w:rsidRPr="0021079A">
        <w:rPr>
          <w:rFonts w:cs="Arial"/>
          <w:b/>
        </w:rPr>
        <w:lastRenderedPageBreak/>
        <w:t xml:space="preserve">Items to be </w:t>
      </w:r>
      <w:proofErr w:type="spellStart"/>
      <w:r w:rsidRPr="0021079A">
        <w:rPr>
          <w:rFonts w:cs="Arial"/>
          <w:b/>
        </w:rPr>
        <w:t>unpaused</w:t>
      </w:r>
      <w:proofErr w:type="spellEnd"/>
      <w:r w:rsidRPr="0021079A">
        <w:rPr>
          <w:rFonts w:cs="Arial"/>
          <w:b/>
        </w:rPr>
        <w:t xml:space="preserve"> for spend in 2020-21</w:t>
      </w:r>
    </w:p>
    <w:p w:rsidR="00E51756" w:rsidRPr="0021079A" w:rsidRDefault="00E51756" w:rsidP="00E51756">
      <w:pPr>
        <w:ind w:left="567" w:right="386"/>
        <w:rPr>
          <w:rFonts w:cs="Arial"/>
          <w:b/>
        </w:rPr>
      </w:pPr>
    </w:p>
    <w:p w:rsidR="00E51756" w:rsidRPr="0021079A" w:rsidRDefault="00E51756" w:rsidP="007E34DD">
      <w:pPr>
        <w:pStyle w:val="ListParagraph"/>
        <w:numPr>
          <w:ilvl w:val="0"/>
          <w:numId w:val="20"/>
        </w:numPr>
        <w:ind w:left="993" w:right="386" w:hanging="426"/>
        <w:rPr>
          <w:rFonts w:cs="Arial"/>
        </w:rPr>
      </w:pPr>
      <w:r w:rsidRPr="0021079A">
        <w:rPr>
          <w:rFonts w:cs="Arial"/>
          <w:b/>
        </w:rPr>
        <w:t>Additional Planning Lawyer and Commercial Property Lawyer</w:t>
      </w:r>
      <w:r w:rsidRPr="0021079A">
        <w:rPr>
          <w:rFonts w:cs="Arial"/>
        </w:rPr>
        <w:t xml:space="preserve"> - £132k per annum. Following a review of the Law and Governance structure a number of additional posts to bolster the capacity of the team to meet the Council’s priorities have been recommended</w:t>
      </w:r>
      <w:r w:rsidR="00BD2F96">
        <w:rPr>
          <w:rFonts w:cs="Arial"/>
        </w:rPr>
        <w:t>.</w:t>
      </w:r>
    </w:p>
    <w:p w:rsidR="00E51756" w:rsidRPr="0021079A" w:rsidRDefault="00E51756" w:rsidP="007E34DD">
      <w:pPr>
        <w:pStyle w:val="ListParagraph"/>
        <w:numPr>
          <w:ilvl w:val="0"/>
          <w:numId w:val="20"/>
        </w:numPr>
        <w:ind w:right="386"/>
        <w:rPr>
          <w:rFonts w:cs="Arial"/>
        </w:rPr>
      </w:pPr>
      <w:r w:rsidRPr="0021079A">
        <w:rPr>
          <w:rFonts w:cs="Arial"/>
          <w:b/>
        </w:rPr>
        <w:t xml:space="preserve">Additional surveying resources in Property Services - </w:t>
      </w:r>
      <w:r w:rsidR="003425F0" w:rsidRPr="003425F0">
        <w:rPr>
          <w:rFonts w:cs="Arial"/>
        </w:rPr>
        <w:t>One</w:t>
      </w:r>
      <w:r w:rsidRPr="003425F0">
        <w:rPr>
          <w:rFonts w:cs="Arial"/>
        </w:rPr>
        <w:t xml:space="preserve"> </w:t>
      </w:r>
      <w:r w:rsidR="005E2BA2" w:rsidRPr="0021079A">
        <w:rPr>
          <w:rFonts w:cs="Arial"/>
        </w:rPr>
        <w:t>addi</w:t>
      </w:r>
      <w:r w:rsidRPr="0021079A">
        <w:rPr>
          <w:rFonts w:cs="Arial"/>
        </w:rPr>
        <w:t xml:space="preserve">tional post, </w:t>
      </w:r>
      <w:r w:rsidR="005E2BA2" w:rsidRPr="0021079A">
        <w:rPr>
          <w:rFonts w:cs="Arial"/>
        </w:rPr>
        <w:t xml:space="preserve">for three years to drive the </w:t>
      </w:r>
      <w:r w:rsidRPr="0021079A">
        <w:rPr>
          <w:rFonts w:cs="Arial"/>
        </w:rPr>
        <w:t>property strategy</w:t>
      </w:r>
      <w:r w:rsidR="006734E6" w:rsidRPr="0021079A">
        <w:rPr>
          <w:rFonts w:cs="Arial"/>
        </w:rPr>
        <w:t xml:space="preserve"> </w:t>
      </w:r>
      <w:r w:rsidR="005E2BA2" w:rsidRPr="0021079A">
        <w:rPr>
          <w:rFonts w:cs="Arial"/>
        </w:rPr>
        <w:t>- £60k per annum</w:t>
      </w:r>
      <w:r w:rsidR="0021079A" w:rsidRPr="0021079A">
        <w:rPr>
          <w:rFonts w:cs="Arial"/>
        </w:rPr>
        <w:t xml:space="preserve"> plus </w:t>
      </w:r>
      <w:r w:rsidR="003425F0">
        <w:rPr>
          <w:rFonts w:cs="Arial"/>
        </w:rPr>
        <w:t>one</w:t>
      </w:r>
      <w:r w:rsidR="0021079A" w:rsidRPr="0021079A">
        <w:rPr>
          <w:rFonts w:cs="Arial"/>
        </w:rPr>
        <w:t xml:space="preserve"> </w:t>
      </w:r>
      <w:r w:rsidR="003425F0">
        <w:rPr>
          <w:rFonts w:cs="Arial"/>
        </w:rPr>
        <w:t>FTE</w:t>
      </w:r>
      <w:r w:rsidR="0021079A" w:rsidRPr="0021079A">
        <w:rPr>
          <w:rFonts w:cs="Arial"/>
        </w:rPr>
        <w:t xml:space="preserve"> to ensure oversight of commercial property income- £60k</w:t>
      </w:r>
    </w:p>
    <w:p w:rsidR="00E51756" w:rsidRPr="0021079A" w:rsidRDefault="00E51756" w:rsidP="007E34DD">
      <w:pPr>
        <w:pStyle w:val="ListParagraph"/>
        <w:numPr>
          <w:ilvl w:val="0"/>
          <w:numId w:val="20"/>
        </w:numPr>
        <w:ind w:right="386"/>
        <w:rPr>
          <w:rFonts w:cs="Arial"/>
        </w:rPr>
      </w:pPr>
      <w:r w:rsidRPr="0021079A">
        <w:rPr>
          <w:rFonts w:cs="Arial"/>
          <w:b/>
        </w:rPr>
        <w:t>Climate change reduction –</w:t>
      </w:r>
      <w:r w:rsidRPr="0021079A">
        <w:rPr>
          <w:rFonts w:cs="Arial"/>
        </w:rPr>
        <w:t xml:space="preserve"> Measures to reduce carbon emissions in response to the climate change assembly including annual amounts for:</w:t>
      </w:r>
    </w:p>
    <w:p w:rsidR="00E51756" w:rsidRPr="0021079A" w:rsidRDefault="00E51756" w:rsidP="007E34DD">
      <w:pPr>
        <w:pStyle w:val="ListParagraph"/>
        <w:numPr>
          <w:ilvl w:val="2"/>
          <w:numId w:val="34"/>
        </w:numPr>
        <w:ind w:left="1843" w:right="386" w:hanging="283"/>
        <w:rPr>
          <w:rFonts w:cs="Arial"/>
        </w:rPr>
      </w:pPr>
      <w:r w:rsidRPr="0021079A">
        <w:rPr>
          <w:rFonts w:cs="Arial"/>
        </w:rPr>
        <w:t>£35k – work on providing Retro fit summit, Youth summit, Z</w:t>
      </w:r>
      <w:r w:rsidR="003425F0">
        <w:rPr>
          <w:rFonts w:cs="Arial"/>
        </w:rPr>
        <w:t xml:space="preserve">ero </w:t>
      </w:r>
      <w:r w:rsidRPr="0021079A">
        <w:rPr>
          <w:rFonts w:cs="Arial"/>
        </w:rPr>
        <w:t>C</w:t>
      </w:r>
      <w:r w:rsidR="003425F0">
        <w:rPr>
          <w:rFonts w:cs="Arial"/>
        </w:rPr>
        <w:t xml:space="preserve">arbon </w:t>
      </w:r>
      <w:r w:rsidRPr="0021079A">
        <w:rPr>
          <w:rFonts w:cs="Arial"/>
        </w:rPr>
        <w:t>O</w:t>
      </w:r>
      <w:r w:rsidR="003425F0">
        <w:rPr>
          <w:rFonts w:cs="Arial"/>
        </w:rPr>
        <w:t>xford</w:t>
      </w:r>
      <w:r w:rsidRPr="0021079A">
        <w:rPr>
          <w:rFonts w:cs="Arial"/>
        </w:rPr>
        <w:t xml:space="preserve"> </w:t>
      </w:r>
      <w:r w:rsidR="003425F0">
        <w:rPr>
          <w:rFonts w:cs="Arial"/>
        </w:rPr>
        <w:t xml:space="preserve">(ZCO) </w:t>
      </w:r>
      <w:r w:rsidRPr="0021079A">
        <w:rPr>
          <w:rFonts w:cs="Arial"/>
        </w:rPr>
        <w:t>summit and web site branding</w:t>
      </w:r>
    </w:p>
    <w:p w:rsidR="0021079A" w:rsidRPr="0021079A" w:rsidRDefault="0021079A" w:rsidP="007E34DD">
      <w:pPr>
        <w:pStyle w:val="ListParagraph"/>
        <w:numPr>
          <w:ilvl w:val="2"/>
          <w:numId w:val="34"/>
        </w:numPr>
        <w:ind w:left="1843" w:right="386" w:hanging="283"/>
        <w:rPr>
          <w:rFonts w:cs="Arial"/>
        </w:rPr>
      </w:pPr>
      <w:r w:rsidRPr="0021079A">
        <w:rPr>
          <w:rFonts w:cs="Arial"/>
        </w:rPr>
        <w:t xml:space="preserve">£23k for </w:t>
      </w:r>
      <w:r w:rsidR="003425F0">
        <w:rPr>
          <w:rFonts w:cs="Arial"/>
        </w:rPr>
        <w:t>two</w:t>
      </w:r>
      <w:r w:rsidRPr="0021079A">
        <w:rPr>
          <w:rFonts w:cs="Arial"/>
        </w:rPr>
        <w:t xml:space="preserve"> years </w:t>
      </w:r>
      <w:r w:rsidR="00A92D3A">
        <w:rPr>
          <w:rFonts w:cs="Arial"/>
        </w:rPr>
        <w:t xml:space="preserve">works towards </w:t>
      </w:r>
      <w:r w:rsidRPr="0021079A">
        <w:rPr>
          <w:rFonts w:cs="Arial"/>
        </w:rPr>
        <w:t>Zero Emissions Zone</w:t>
      </w:r>
      <w:r w:rsidR="00BD2F96">
        <w:rPr>
          <w:rFonts w:cs="Arial"/>
        </w:rPr>
        <w:t>.</w:t>
      </w:r>
    </w:p>
    <w:p w:rsidR="00E51756" w:rsidRDefault="00E51756" w:rsidP="00E51756">
      <w:pPr>
        <w:ind w:right="386"/>
        <w:rPr>
          <w:rFonts w:cs="Arial"/>
        </w:rPr>
      </w:pPr>
    </w:p>
    <w:p w:rsidR="00E51756" w:rsidRPr="00E51756" w:rsidRDefault="00E51756" w:rsidP="00E51756">
      <w:pPr>
        <w:ind w:left="720" w:right="386"/>
        <w:rPr>
          <w:rFonts w:cs="Arial"/>
          <w:b/>
        </w:rPr>
      </w:pPr>
      <w:r w:rsidRPr="00E51756">
        <w:rPr>
          <w:rFonts w:cs="Arial"/>
          <w:b/>
        </w:rPr>
        <w:t>Other items of new spend</w:t>
      </w:r>
    </w:p>
    <w:p w:rsidR="00E51756" w:rsidRDefault="00E51756" w:rsidP="00E51756">
      <w:pPr>
        <w:pStyle w:val="ListParagraph"/>
        <w:ind w:right="386"/>
        <w:rPr>
          <w:rFonts w:cs="Arial"/>
        </w:rPr>
      </w:pPr>
    </w:p>
    <w:p w:rsidR="009F4348" w:rsidRPr="003E576F" w:rsidRDefault="009F4348" w:rsidP="007E34DD">
      <w:pPr>
        <w:pStyle w:val="ListParagraph"/>
        <w:numPr>
          <w:ilvl w:val="0"/>
          <w:numId w:val="35"/>
        </w:numPr>
        <w:ind w:right="386"/>
        <w:rPr>
          <w:rFonts w:cs="Arial"/>
        </w:rPr>
      </w:pPr>
      <w:r w:rsidRPr="003E576F">
        <w:rPr>
          <w:rFonts w:cs="Arial"/>
          <w:b/>
        </w:rPr>
        <w:t>Transformation costs</w:t>
      </w:r>
      <w:r w:rsidRPr="003E576F">
        <w:rPr>
          <w:rFonts w:cs="Arial"/>
        </w:rPr>
        <w:t xml:space="preserve"> – the Council has a current Transformation team of staff although these are only funded up until 31</w:t>
      </w:r>
      <w:r w:rsidR="003425F0">
        <w:rPr>
          <w:rFonts w:cs="Arial"/>
        </w:rPr>
        <w:t xml:space="preserve"> December </w:t>
      </w:r>
      <w:r w:rsidRPr="003E576F">
        <w:rPr>
          <w:rFonts w:cs="Arial"/>
        </w:rPr>
        <w:t>2020. Provision has been made in th</w:t>
      </w:r>
      <w:r w:rsidR="00603CCF">
        <w:rPr>
          <w:rFonts w:cs="Arial"/>
        </w:rPr>
        <w:t>e MTFS</w:t>
      </w:r>
      <w:r w:rsidRPr="003E576F">
        <w:rPr>
          <w:rFonts w:cs="Arial"/>
        </w:rPr>
        <w:t xml:space="preserve"> for £250k per annum for the funding of a number of staff to be used on driving the efficiencies identified in this budget process</w:t>
      </w:r>
      <w:r w:rsidR="00BD2F96">
        <w:rPr>
          <w:rFonts w:cs="Arial"/>
        </w:rPr>
        <w:t>.</w:t>
      </w:r>
    </w:p>
    <w:p w:rsidR="003E117D" w:rsidRDefault="003E117D" w:rsidP="007E34DD">
      <w:pPr>
        <w:pStyle w:val="ListParagraph"/>
        <w:numPr>
          <w:ilvl w:val="0"/>
          <w:numId w:val="35"/>
        </w:numPr>
        <w:ind w:right="386"/>
        <w:rPr>
          <w:rFonts w:cs="Arial"/>
        </w:rPr>
      </w:pPr>
      <w:r w:rsidRPr="003E117D">
        <w:rPr>
          <w:rFonts w:cs="Arial"/>
          <w:b/>
        </w:rPr>
        <w:t xml:space="preserve">ICT – </w:t>
      </w:r>
      <w:r w:rsidRPr="003E117D">
        <w:rPr>
          <w:rFonts w:cs="Arial"/>
        </w:rPr>
        <w:t>increased ICT in relation to infrastructure required for remote working has been provided at a cost of £300k although it is expected that this can be mitigated going forward with changes in the data centre provider contract</w:t>
      </w:r>
      <w:r w:rsidR="00BD2F96">
        <w:rPr>
          <w:rFonts w:cs="Arial"/>
        </w:rPr>
        <w:t>.</w:t>
      </w:r>
    </w:p>
    <w:p w:rsidR="003E117D" w:rsidRPr="00A134C7" w:rsidRDefault="003E117D" w:rsidP="007E34DD">
      <w:pPr>
        <w:pStyle w:val="ListParagraph"/>
        <w:numPr>
          <w:ilvl w:val="0"/>
          <w:numId w:val="35"/>
        </w:numPr>
        <w:ind w:right="386"/>
        <w:rPr>
          <w:rFonts w:cs="Arial"/>
        </w:rPr>
      </w:pPr>
      <w:r>
        <w:rPr>
          <w:rFonts w:cs="Arial"/>
          <w:b/>
        </w:rPr>
        <w:t>Museum –</w:t>
      </w:r>
      <w:r>
        <w:rPr>
          <w:rFonts w:cs="Arial"/>
        </w:rPr>
        <w:t xml:space="preserve"> additional costs in connection with marketing and preparing for </w:t>
      </w:r>
      <w:r w:rsidRPr="00A134C7">
        <w:rPr>
          <w:rFonts w:cs="Arial"/>
        </w:rPr>
        <w:t>the opening of the new museum are including for 2 years at £100k per annum</w:t>
      </w:r>
      <w:r w:rsidR="00BD2F96">
        <w:rPr>
          <w:rFonts w:cs="Arial"/>
        </w:rPr>
        <w:t>.</w:t>
      </w:r>
    </w:p>
    <w:p w:rsidR="00FE28D3" w:rsidRPr="00A134C7" w:rsidRDefault="00621882" w:rsidP="007E34DD">
      <w:pPr>
        <w:pStyle w:val="ListParagraph"/>
        <w:numPr>
          <w:ilvl w:val="0"/>
          <w:numId w:val="35"/>
        </w:numPr>
        <w:ind w:right="386"/>
        <w:rPr>
          <w:rFonts w:cs="Arial"/>
        </w:rPr>
      </w:pPr>
      <w:r w:rsidRPr="00A134C7">
        <w:rPr>
          <w:rFonts w:cs="Arial"/>
          <w:b/>
        </w:rPr>
        <w:t>M</w:t>
      </w:r>
      <w:r w:rsidR="004952C8" w:rsidRPr="00A134C7">
        <w:rPr>
          <w:rFonts w:cs="Arial"/>
          <w:b/>
        </w:rPr>
        <w:t xml:space="preserve">inimum </w:t>
      </w:r>
      <w:r w:rsidRPr="00A134C7">
        <w:rPr>
          <w:rFonts w:cs="Arial"/>
          <w:b/>
        </w:rPr>
        <w:t>R</w:t>
      </w:r>
      <w:r w:rsidR="004952C8" w:rsidRPr="00A134C7">
        <w:rPr>
          <w:rFonts w:cs="Arial"/>
          <w:b/>
        </w:rPr>
        <w:t xml:space="preserve">evenue </w:t>
      </w:r>
      <w:r w:rsidRPr="00A134C7">
        <w:rPr>
          <w:rFonts w:cs="Arial"/>
          <w:b/>
        </w:rPr>
        <w:t>P</w:t>
      </w:r>
      <w:r w:rsidR="004952C8" w:rsidRPr="00A134C7">
        <w:rPr>
          <w:rFonts w:cs="Arial"/>
          <w:b/>
        </w:rPr>
        <w:t>rovision (MRP)</w:t>
      </w:r>
      <w:r w:rsidRPr="00A134C7">
        <w:rPr>
          <w:rFonts w:cs="Arial"/>
          <w:b/>
        </w:rPr>
        <w:t xml:space="preserve"> and Interest – </w:t>
      </w:r>
      <w:r w:rsidRPr="00A134C7">
        <w:rPr>
          <w:rFonts w:cs="Arial"/>
        </w:rPr>
        <w:t xml:space="preserve">within the Medium Term Financial </w:t>
      </w:r>
      <w:r w:rsidR="00A041EC" w:rsidRPr="00A134C7">
        <w:rPr>
          <w:rFonts w:cs="Arial"/>
        </w:rPr>
        <w:t>Strategy</w:t>
      </w:r>
      <w:r w:rsidRPr="00A134C7">
        <w:rPr>
          <w:rFonts w:cs="Arial"/>
        </w:rPr>
        <w:t xml:space="preserve"> provision has been made for the revenue costs associated with estimated additional borrowing of £10million per annum to allow for items within</w:t>
      </w:r>
      <w:r w:rsidR="00BD2F96">
        <w:rPr>
          <w:rFonts w:cs="Arial"/>
        </w:rPr>
        <w:t xml:space="preserve"> the capital programme pipeline.</w:t>
      </w:r>
    </w:p>
    <w:p w:rsidR="0080273E" w:rsidRDefault="0080273E" w:rsidP="007E34DD">
      <w:pPr>
        <w:pStyle w:val="ListParagraph"/>
        <w:numPr>
          <w:ilvl w:val="0"/>
          <w:numId w:val="35"/>
        </w:numPr>
        <w:ind w:right="386"/>
        <w:rPr>
          <w:rFonts w:cs="Arial"/>
        </w:rPr>
      </w:pPr>
      <w:r>
        <w:rPr>
          <w:rFonts w:cs="Arial"/>
          <w:b/>
        </w:rPr>
        <w:t>Leisure Services –</w:t>
      </w:r>
      <w:r>
        <w:rPr>
          <w:rFonts w:cs="Arial"/>
        </w:rPr>
        <w:t xml:space="preserve"> An annual provision of £500k to reflect the increased costs of opening leisure facilities when they are allowed to open. </w:t>
      </w:r>
    </w:p>
    <w:p w:rsidR="0080273E" w:rsidRPr="0080273E" w:rsidRDefault="0080273E" w:rsidP="007E34DD">
      <w:pPr>
        <w:pStyle w:val="ListParagraph"/>
        <w:numPr>
          <w:ilvl w:val="0"/>
          <w:numId w:val="35"/>
        </w:numPr>
        <w:ind w:right="386"/>
        <w:rPr>
          <w:rFonts w:cs="Arial"/>
        </w:rPr>
      </w:pPr>
      <w:r>
        <w:rPr>
          <w:rFonts w:cs="Arial"/>
          <w:b/>
        </w:rPr>
        <w:t>Planning services –</w:t>
      </w:r>
      <w:r>
        <w:rPr>
          <w:rFonts w:cs="Arial"/>
        </w:rPr>
        <w:t xml:space="preserve"> an additional </w:t>
      </w:r>
      <w:r w:rsidR="003425F0">
        <w:rPr>
          <w:rFonts w:cs="Arial"/>
        </w:rPr>
        <w:t>six</w:t>
      </w:r>
      <w:r>
        <w:rPr>
          <w:rFonts w:cs="Arial"/>
        </w:rPr>
        <w:t xml:space="preserve"> </w:t>
      </w:r>
      <w:r w:rsidR="00A92D3A">
        <w:rPr>
          <w:rFonts w:cs="Arial"/>
        </w:rPr>
        <w:t>FTE</w:t>
      </w:r>
      <w:r>
        <w:rPr>
          <w:rFonts w:cs="Arial"/>
        </w:rPr>
        <w:t>’s to manage increased levels of Planning Performance Agreement income</w:t>
      </w:r>
      <w:r w:rsidR="00BD2F96">
        <w:rPr>
          <w:rFonts w:cs="Arial"/>
        </w:rPr>
        <w:t>.</w:t>
      </w:r>
    </w:p>
    <w:p w:rsidR="00E51756" w:rsidRPr="006734E6" w:rsidRDefault="00E00C9F" w:rsidP="007E34DD">
      <w:pPr>
        <w:pStyle w:val="ListParagraph"/>
        <w:numPr>
          <w:ilvl w:val="0"/>
          <w:numId w:val="35"/>
        </w:numPr>
        <w:ind w:left="993" w:right="386" w:hanging="426"/>
        <w:rPr>
          <w:rFonts w:cs="Arial"/>
        </w:rPr>
      </w:pPr>
      <w:r w:rsidRPr="006734E6">
        <w:rPr>
          <w:rFonts w:cs="Arial"/>
          <w:b/>
        </w:rPr>
        <w:t>Floyds Row –</w:t>
      </w:r>
      <w:r w:rsidRPr="006734E6">
        <w:rPr>
          <w:rFonts w:cs="Arial"/>
        </w:rPr>
        <w:t xml:space="preserve">The one wing of Floyds Row </w:t>
      </w:r>
      <w:r w:rsidR="003425F0">
        <w:rPr>
          <w:rFonts w:cs="Arial"/>
        </w:rPr>
        <w:t xml:space="preserve">which </w:t>
      </w:r>
      <w:r w:rsidRPr="006734E6">
        <w:rPr>
          <w:rFonts w:cs="Arial"/>
        </w:rPr>
        <w:t xml:space="preserve">opened in January 2020 was decanted as part of the ‘Everyone In’ response with all client moved to </w:t>
      </w:r>
      <w:r w:rsidR="000C03E1" w:rsidRPr="006734E6">
        <w:rPr>
          <w:rFonts w:cs="Arial"/>
        </w:rPr>
        <w:t>self-contained</w:t>
      </w:r>
      <w:r w:rsidRPr="006734E6">
        <w:rPr>
          <w:rFonts w:cs="Arial"/>
        </w:rPr>
        <w:t xml:space="preserve"> accommodation. The building was </w:t>
      </w:r>
      <w:r w:rsidR="00845798" w:rsidRPr="006734E6">
        <w:rPr>
          <w:rFonts w:cs="Arial"/>
        </w:rPr>
        <w:t>subsequently</w:t>
      </w:r>
      <w:r w:rsidRPr="006734E6">
        <w:rPr>
          <w:rFonts w:cs="Arial"/>
        </w:rPr>
        <w:t xml:space="preserve"> completed in June 2020 but is currently only used as a triage centre. The original St Mungo’s contract was repurposed during the pandemic to provide support to two venues at </w:t>
      </w:r>
      <w:r w:rsidR="003425F0">
        <w:rPr>
          <w:rFonts w:cs="Arial"/>
        </w:rPr>
        <w:t xml:space="preserve">the </w:t>
      </w:r>
      <w:r w:rsidRPr="006734E6">
        <w:rPr>
          <w:rFonts w:cs="Arial"/>
        </w:rPr>
        <w:t xml:space="preserve">YHA </w:t>
      </w:r>
      <w:r w:rsidR="00BD2C12" w:rsidRPr="006734E6">
        <w:rPr>
          <w:rFonts w:cs="Arial"/>
        </w:rPr>
        <w:t>and</w:t>
      </w:r>
      <w:r w:rsidRPr="006734E6">
        <w:rPr>
          <w:rFonts w:cs="Arial"/>
        </w:rPr>
        <w:t xml:space="preserve"> </w:t>
      </w:r>
      <w:r w:rsidR="00D93703" w:rsidRPr="006734E6">
        <w:rPr>
          <w:rFonts w:cs="Arial"/>
        </w:rPr>
        <w:t>Canterbury</w:t>
      </w:r>
      <w:r w:rsidRPr="006734E6">
        <w:rPr>
          <w:rFonts w:cs="Arial"/>
        </w:rPr>
        <w:t xml:space="preserve"> House. The pandemic has given the Council th</w:t>
      </w:r>
      <w:r w:rsidR="00D93703" w:rsidRPr="006734E6">
        <w:rPr>
          <w:rFonts w:cs="Arial"/>
        </w:rPr>
        <w:t>e</w:t>
      </w:r>
      <w:r w:rsidRPr="006734E6">
        <w:rPr>
          <w:rFonts w:cs="Arial"/>
        </w:rPr>
        <w:t xml:space="preserve"> </w:t>
      </w:r>
      <w:r w:rsidR="00D93703" w:rsidRPr="006734E6">
        <w:rPr>
          <w:rFonts w:cs="Arial"/>
        </w:rPr>
        <w:t>flexibility</w:t>
      </w:r>
      <w:r w:rsidRPr="006734E6">
        <w:rPr>
          <w:rFonts w:cs="Arial"/>
        </w:rPr>
        <w:t xml:space="preserve"> to re-configure the space and approach to the use of Floyds Row and it has been </w:t>
      </w:r>
      <w:r w:rsidR="00D93703" w:rsidRPr="006734E6">
        <w:rPr>
          <w:rFonts w:cs="Arial"/>
        </w:rPr>
        <w:t>decided</w:t>
      </w:r>
      <w:r w:rsidRPr="006734E6">
        <w:rPr>
          <w:rFonts w:cs="Arial"/>
        </w:rPr>
        <w:t xml:space="preserve"> that building should now be used as an assessment hub providing single point of access where people can get onto the Housing register and where Housing options are present. The assessment hub is planned to open in August 2021 and the cost per annum of Floyds Row is estimated at £1.5 million per annum. </w:t>
      </w:r>
      <w:r w:rsidR="00845798" w:rsidRPr="006734E6">
        <w:rPr>
          <w:rFonts w:cs="Arial"/>
        </w:rPr>
        <w:t xml:space="preserve">Within Appendix 3 of these papers provision has been included from funding of £400k </w:t>
      </w:r>
      <w:r w:rsidR="00D93703" w:rsidRPr="006734E6">
        <w:rPr>
          <w:rFonts w:cs="Arial"/>
        </w:rPr>
        <w:t>Government</w:t>
      </w:r>
      <w:r w:rsidR="00845798" w:rsidRPr="006734E6">
        <w:rPr>
          <w:rFonts w:cs="Arial"/>
        </w:rPr>
        <w:t xml:space="preserve"> Grant and also £470k in a full year contributions from partners in the county as part of a county wide homelessness strategy. If neither </w:t>
      </w:r>
      <w:r w:rsidR="00A441F6">
        <w:rPr>
          <w:rFonts w:cs="Arial"/>
        </w:rPr>
        <w:t xml:space="preserve">of these </w:t>
      </w:r>
      <w:r w:rsidR="00845798" w:rsidRPr="006734E6">
        <w:rPr>
          <w:rFonts w:cs="Arial"/>
        </w:rPr>
        <w:t xml:space="preserve">income </w:t>
      </w:r>
      <w:r w:rsidR="00D93703" w:rsidRPr="006734E6">
        <w:rPr>
          <w:rFonts w:cs="Arial"/>
        </w:rPr>
        <w:lastRenderedPageBreak/>
        <w:t>streams</w:t>
      </w:r>
      <w:r w:rsidR="00845798" w:rsidRPr="006734E6">
        <w:rPr>
          <w:rFonts w:cs="Arial"/>
        </w:rPr>
        <w:t xml:space="preserve"> </w:t>
      </w:r>
      <w:r w:rsidR="00A441F6">
        <w:rPr>
          <w:rFonts w:cs="Arial"/>
        </w:rPr>
        <w:t>are not</w:t>
      </w:r>
      <w:r w:rsidR="00845798" w:rsidRPr="006734E6">
        <w:rPr>
          <w:rFonts w:cs="Arial"/>
        </w:rPr>
        <w:t xml:space="preserve"> forthcoming then </w:t>
      </w:r>
      <w:r w:rsidR="00D93703" w:rsidRPr="006734E6">
        <w:rPr>
          <w:rFonts w:cs="Arial"/>
        </w:rPr>
        <w:t>additional</w:t>
      </w:r>
      <w:r w:rsidR="00845798" w:rsidRPr="006734E6">
        <w:rPr>
          <w:rFonts w:cs="Arial"/>
        </w:rPr>
        <w:t xml:space="preserve"> income streams will be required if the building is to remain open.</w:t>
      </w:r>
    </w:p>
    <w:p w:rsidR="003E576F" w:rsidRPr="00845798" w:rsidRDefault="003E576F" w:rsidP="007E34DD">
      <w:pPr>
        <w:pStyle w:val="ListParagraph"/>
        <w:numPr>
          <w:ilvl w:val="0"/>
          <w:numId w:val="36"/>
        </w:numPr>
        <w:ind w:right="386"/>
        <w:rPr>
          <w:rFonts w:cs="Arial"/>
        </w:rPr>
      </w:pPr>
      <w:r>
        <w:rPr>
          <w:rFonts w:cs="Arial"/>
          <w:b/>
        </w:rPr>
        <w:t>Canterbury House and YHA provision –</w:t>
      </w:r>
      <w:r>
        <w:rPr>
          <w:rFonts w:cs="Arial"/>
        </w:rPr>
        <w:t xml:space="preserve"> £570k one off cost of St </w:t>
      </w:r>
      <w:proofErr w:type="spellStart"/>
      <w:r>
        <w:rPr>
          <w:rFonts w:cs="Arial"/>
        </w:rPr>
        <w:t>Mungos</w:t>
      </w:r>
      <w:proofErr w:type="spellEnd"/>
      <w:r>
        <w:rPr>
          <w:rFonts w:cs="Arial"/>
        </w:rPr>
        <w:t xml:space="preserve"> providing service and accommodation for homeless individuals at Canterbury House and YHA pending the opening of Floyds Row in August 2021. </w:t>
      </w:r>
      <w:r w:rsidR="00A92D3A">
        <w:rPr>
          <w:rFonts w:cs="Arial"/>
        </w:rPr>
        <w:t>This a</w:t>
      </w:r>
      <w:r>
        <w:rPr>
          <w:rFonts w:cs="Arial"/>
        </w:rPr>
        <w:t xml:space="preserve">ssumes no Government Grant. </w:t>
      </w:r>
    </w:p>
    <w:p w:rsidR="00845798" w:rsidRPr="003E576F" w:rsidRDefault="00845798" w:rsidP="007E34DD">
      <w:pPr>
        <w:pStyle w:val="ListParagraph"/>
        <w:numPr>
          <w:ilvl w:val="0"/>
          <w:numId w:val="36"/>
        </w:numPr>
        <w:ind w:right="386"/>
        <w:rPr>
          <w:rFonts w:cs="Arial"/>
        </w:rPr>
      </w:pPr>
      <w:r w:rsidRPr="00845798">
        <w:rPr>
          <w:rFonts w:cs="Arial"/>
          <w:b/>
        </w:rPr>
        <w:t>Young Peoples Pathway</w:t>
      </w:r>
      <w:r>
        <w:rPr>
          <w:rFonts w:cs="Arial"/>
        </w:rPr>
        <w:t xml:space="preserve"> - </w:t>
      </w:r>
      <w:r w:rsidRPr="003E576F">
        <w:rPr>
          <w:rFonts w:cs="Arial"/>
        </w:rPr>
        <w:t>£125k per annum plus inflation</w:t>
      </w:r>
      <w:r w:rsidR="003E576F" w:rsidRPr="003E576F">
        <w:rPr>
          <w:rFonts w:cs="Arial"/>
          <w:color w:val="222222"/>
        </w:rPr>
        <w:t xml:space="preserve"> as part of the Councils contribution to providing </w:t>
      </w:r>
      <w:r w:rsidR="003E576F" w:rsidRPr="003E576F">
        <w:rPr>
          <w:rStyle w:val="hgkelc"/>
          <w:rFonts w:cs="Arial"/>
          <w:color w:val="222222"/>
        </w:rPr>
        <w:t xml:space="preserve">supported housing in </w:t>
      </w:r>
      <w:r w:rsidR="003E576F" w:rsidRPr="003E576F">
        <w:rPr>
          <w:rStyle w:val="hgkelc"/>
          <w:rFonts w:cs="Arial"/>
          <w:bCs/>
          <w:color w:val="222222"/>
        </w:rPr>
        <w:t>Oxfordshire</w:t>
      </w:r>
      <w:r w:rsidR="003E576F" w:rsidRPr="003E576F">
        <w:rPr>
          <w:rStyle w:val="hgkelc"/>
          <w:rFonts w:cs="Arial"/>
          <w:color w:val="222222"/>
        </w:rPr>
        <w:t xml:space="preserve"> for </w:t>
      </w:r>
      <w:r w:rsidR="003E576F" w:rsidRPr="003E576F">
        <w:rPr>
          <w:rStyle w:val="hgkelc"/>
          <w:rFonts w:cs="Arial"/>
          <w:bCs/>
          <w:color w:val="222222"/>
        </w:rPr>
        <w:t>young people</w:t>
      </w:r>
      <w:r w:rsidR="003E576F" w:rsidRPr="003E576F">
        <w:rPr>
          <w:rStyle w:val="hgkelc"/>
          <w:rFonts w:cs="Arial"/>
          <w:color w:val="222222"/>
        </w:rPr>
        <w:t xml:space="preserve"> aged 16 to 24 years inclusive, who are homeless or at risk of homelessness.</w:t>
      </w:r>
    </w:p>
    <w:p w:rsidR="00A84681" w:rsidRDefault="00A84681" w:rsidP="007E34DD">
      <w:pPr>
        <w:pStyle w:val="ListParagraph"/>
        <w:numPr>
          <w:ilvl w:val="0"/>
          <w:numId w:val="36"/>
        </w:numPr>
        <w:ind w:right="386"/>
        <w:rPr>
          <w:rFonts w:cs="Arial"/>
        </w:rPr>
      </w:pPr>
      <w:r w:rsidRPr="00313554">
        <w:rPr>
          <w:rFonts w:cs="Arial"/>
          <w:b/>
        </w:rPr>
        <w:t>Dat</w:t>
      </w:r>
      <w:r w:rsidR="00DA2B0C" w:rsidRPr="00313554">
        <w:rPr>
          <w:rFonts w:cs="Arial"/>
          <w:b/>
        </w:rPr>
        <w:t>a</w:t>
      </w:r>
      <w:r w:rsidRPr="00313554">
        <w:rPr>
          <w:rFonts w:cs="Arial"/>
          <w:b/>
        </w:rPr>
        <w:t xml:space="preserve"> Manager (investigation Services) </w:t>
      </w:r>
      <w:r w:rsidRPr="00313554">
        <w:rPr>
          <w:rFonts w:cs="Arial"/>
        </w:rPr>
        <w:t xml:space="preserve">– Following a review of the team an additional </w:t>
      </w:r>
      <w:r w:rsidR="00313554" w:rsidRPr="00313554">
        <w:rPr>
          <w:rFonts w:cs="Arial"/>
        </w:rPr>
        <w:t xml:space="preserve">fixed term contract </w:t>
      </w:r>
      <w:r w:rsidRPr="00313554">
        <w:rPr>
          <w:rFonts w:cs="Arial"/>
        </w:rPr>
        <w:t xml:space="preserve">post </w:t>
      </w:r>
      <w:r w:rsidR="00313554" w:rsidRPr="00313554">
        <w:rPr>
          <w:rFonts w:cs="Arial"/>
        </w:rPr>
        <w:t xml:space="preserve">is planned </w:t>
      </w:r>
      <w:r w:rsidRPr="00313554">
        <w:rPr>
          <w:rFonts w:cs="Arial"/>
        </w:rPr>
        <w:t xml:space="preserve">to manage and initiate data matching exercises </w:t>
      </w:r>
      <w:r w:rsidR="00A441F6">
        <w:rPr>
          <w:rFonts w:cs="Arial"/>
        </w:rPr>
        <w:t xml:space="preserve">in respect of </w:t>
      </w:r>
      <w:r w:rsidRPr="00313554">
        <w:rPr>
          <w:rFonts w:cs="Arial"/>
        </w:rPr>
        <w:t>the Council</w:t>
      </w:r>
      <w:r w:rsidR="004952C8" w:rsidRPr="00313554">
        <w:rPr>
          <w:rFonts w:cs="Arial"/>
        </w:rPr>
        <w:t>’</w:t>
      </w:r>
      <w:r w:rsidRPr="00313554">
        <w:rPr>
          <w:rFonts w:cs="Arial"/>
        </w:rPr>
        <w:t>s own data and other clients</w:t>
      </w:r>
      <w:r w:rsidR="00313554" w:rsidRPr="00313554">
        <w:rPr>
          <w:rFonts w:cs="Arial"/>
        </w:rPr>
        <w:t>. There is an expectation that the cost will be covered from increased income from business rates and council tax as well as external trading income</w:t>
      </w:r>
      <w:r w:rsidRPr="00313554">
        <w:rPr>
          <w:rFonts w:cs="Arial"/>
        </w:rPr>
        <w:t xml:space="preserve"> - £50k per annum</w:t>
      </w:r>
      <w:r w:rsidR="00BD2F96">
        <w:rPr>
          <w:rFonts w:cs="Arial"/>
        </w:rPr>
        <w:t>.</w:t>
      </w:r>
    </w:p>
    <w:p w:rsidR="0055646C" w:rsidRDefault="0055646C" w:rsidP="0055646C">
      <w:pPr>
        <w:ind w:left="567" w:right="386"/>
        <w:rPr>
          <w:rFonts w:cs="Arial"/>
        </w:rPr>
      </w:pPr>
    </w:p>
    <w:p w:rsidR="0055646C" w:rsidRDefault="0055646C" w:rsidP="0055646C">
      <w:pPr>
        <w:ind w:left="567" w:right="386"/>
        <w:rPr>
          <w:rFonts w:cs="Arial"/>
        </w:rPr>
      </w:pPr>
    </w:p>
    <w:p w:rsidR="0055646C" w:rsidRPr="0055646C" w:rsidRDefault="002E1FDE" w:rsidP="002E1FDE">
      <w:pPr>
        <w:ind w:left="720" w:right="386"/>
        <w:rPr>
          <w:rFonts w:cs="Arial"/>
        </w:rPr>
      </w:pPr>
      <w:r>
        <w:rPr>
          <w:rFonts w:cs="Arial"/>
        </w:rPr>
        <w:t>It should be noted that, in putting forward this budget, members and officers have sought to minimise the need for savings which affect local people in Oxford, especially the most vulnerable.  For instance, no minimum charge of council tax is proposed for those on the lowest incomes, voluntary sector grants continue in full next year, and there remains significant funding of discretionary services such as in the area of youth ambition</w:t>
      </w:r>
    </w:p>
    <w:p w:rsidR="003E576F" w:rsidRPr="003E576F" w:rsidRDefault="003E576F" w:rsidP="003E576F">
      <w:pPr>
        <w:ind w:left="567" w:right="386"/>
        <w:rPr>
          <w:rFonts w:cs="Arial"/>
        </w:rPr>
      </w:pPr>
    </w:p>
    <w:p w:rsidR="00DE3FBB" w:rsidRDefault="0000468F" w:rsidP="007E34DD">
      <w:pPr>
        <w:pStyle w:val="ListParagraph"/>
        <w:numPr>
          <w:ilvl w:val="0"/>
          <w:numId w:val="51"/>
        </w:numPr>
        <w:ind w:left="709" w:right="386" w:hanging="709"/>
      </w:pPr>
      <w:r w:rsidRPr="000C03E1">
        <w:t xml:space="preserve">The </w:t>
      </w:r>
      <w:r w:rsidR="009431D6" w:rsidRPr="000C03E1">
        <w:t xml:space="preserve">Council’s </w:t>
      </w:r>
      <w:r w:rsidR="00E90B63" w:rsidRPr="000C03E1">
        <w:t>G</w:t>
      </w:r>
      <w:r w:rsidR="009431D6" w:rsidRPr="000C03E1">
        <w:t xml:space="preserve">eneral </w:t>
      </w:r>
      <w:r w:rsidR="00E90B63" w:rsidRPr="000C03E1">
        <w:t>F</w:t>
      </w:r>
      <w:r w:rsidR="009431D6" w:rsidRPr="000C03E1">
        <w:t>und Budget for Consultation is set out in Appendi</w:t>
      </w:r>
      <w:r w:rsidR="00A83682" w:rsidRPr="000C03E1">
        <w:t>ces</w:t>
      </w:r>
      <w:r w:rsidR="009431D6" w:rsidRPr="000C03E1">
        <w:t xml:space="preserve"> 1</w:t>
      </w:r>
      <w:r w:rsidR="00B43878" w:rsidRPr="000C03E1">
        <w:t>, 2 and 3</w:t>
      </w:r>
      <w:r w:rsidR="005A4481" w:rsidRPr="000C03E1">
        <w:t xml:space="preserve"> </w:t>
      </w:r>
      <w:r w:rsidR="009E7E43" w:rsidRPr="000C03E1">
        <w:t xml:space="preserve">attached </w:t>
      </w:r>
      <w:r w:rsidR="005A4481" w:rsidRPr="000C03E1">
        <w:t xml:space="preserve">and </w:t>
      </w:r>
      <w:r w:rsidR="006017B0" w:rsidRPr="000C03E1">
        <w:t>summarised</w:t>
      </w:r>
      <w:r w:rsidR="009E7E43" w:rsidRPr="000C03E1">
        <w:t xml:space="preserve"> </w:t>
      </w:r>
      <w:r w:rsidR="00E462AA" w:rsidRPr="000C03E1">
        <w:t>below:</w:t>
      </w:r>
    </w:p>
    <w:p w:rsidR="00967143" w:rsidRDefault="00967143" w:rsidP="00967143">
      <w:pPr>
        <w:ind w:right="386"/>
      </w:pPr>
    </w:p>
    <w:p w:rsidR="00967143" w:rsidRDefault="00967143" w:rsidP="00967143">
      <w:pPr>
        <w:ind w:right="386"/>
      </w:pPr>
      <w:r w:rsidRPr="00967143">
        <w:rPr>
          <w:noProof/>
          <w:lang w:eastAsia="en-GB"/>
        </w:rPr>
        <w:lastRenderedPageBreak/>
        <w:drawing>
          <wp:inline distT="0" distB="0" distL="0" distR="0">
            <wp:extent cx="6112510" cy="4780168"/>
            <wp:effectExtent l="0" t="0" r="254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2510" cy="4780168"/>
                    </a:xfrm>
                    <a:prstGeom prst="rect">
                      <a:avLst/>
                    </a:prstGeom>
                    <a:noFill/>
                    <a:ln>
                      <a:noFill/>
                    </a:ln>
                  </pic:spPr>
                </pic:pic>
              </a:graphicData>
            </a:graphic>
          </wp:inline>
        </w:drawing>
      </w:r>
    </w:p>
    <w:p w:rsidR="00967143" w:rsidRDefault="00967143" w:rsidP="00967143">
      <w:pPr>
        <w:ind w:right="386"/>
      </w:pPr>
    </w:p>
    <w:p w:rsidR="009370D4" w:rsidRDefault="009370D4" w:rsidP="00653A9E">
      <w:pPr>
        <w:ind w:right="386"/>
        <w:rPr>
          <w:b/>
          <w:highlight w:val="yellow"/>
        </w:rPr>
      </w:pPr>
    </w:p>
    <w:p w:rsidR="009E67EF" w:rsidRPr="000C03E1" w:rsidRDefault="009E67EF" w:rsidP="000C03E1">
      <w:pPr>
        <w:pStyle w:val="ListParagraph"/>
        <w:ind w:right="386"/>
        <w:rPr>
          <w:b/>
        </w:rPr>
      </w:pPr>
      <w:r w:rsidRPr="000C03E1">
        <w:rPr>
          <w:b/>
        </w:rPr>
        <w:t>Key</w:t>
      </w:r>
    </w:p>
    <w:p w:rsidR="009E67EF" w:rsidRPr="000C03E1" w:rsidRDefault="009E67EF" w:rsidP="009312E5">
      <w:pPr>
        <w:numPr>
          <w:ilvl w:val="0"/>
          <w:numId w:val="3"/>
        </w:numPr>
        <w:ind w:left="993" w:right="386" w:hanging="284"/>
      </w:pPr>
      <w:r w:rsidRPr="000C03E1">
        <w:rPr>
          <w:b/>
        </w:rPr>
        <w:t xml:space="preserve">MRP </w:t>
      </w:r>
      <w:r w:rsidRPr="000C03E1">
        <w:t xml:space="preserve">– </w:t>
      </w:r>
      <w:r w:rsidRPr="000C03E1">
        <w:rPr>
          <w:b/>
        </w:rPr>
        <w:t>Minimum Revenue Provision</w:t>
      </w:r>
      <w:r w:rsidRPr="000C03E1">
        <w:t xml:space="preserve"> – A charge made to revenue in respect </w:t>
      </w:r>
      <w:r w:rsidR="00A57C7D" w:rsidRPr="000C03E1">
        <w:t xml:space="preserve">of </w:t>
      </w:r>
      <w:r w:rsidRPr="000C03E1">
        <w:t xml:space="preserve">the cost of borrowing to fund the </w:t>
      </w:r>
      <w:r w:rsidR="00662F6E" w:rsidRPr="000C03E1">
        <w:t>Capital Programme</w:t>
      </w:r>
      <w:r w:rsidRPr="000C03E1">
        <w:t>.</w:t>
      </w:r>
    </w:p>
    <w:p w:rsidR="00847CF3" w:rsidRDefault="00847CF3" w:rsidP="007460FC">
      <w:pPr>
        <w:ind w:right="386"/>
        <w:rPr>
          <w:b/>
          <w:highlight w:val="yellow"/>
        </w:rPr>
      </w:pPr>
    </w:p>
    <w:p w:rsidR="00D93703" w:rsidRPr="00000222" w:rsidRDefault="00D93703" w:rsidP="007460FC">
      <w:pPr>
        <w:ind w:right="386"/>
        <w:rPr>
          <w:b/>
          <w:highlight w:val="yellow"/>
        </w:rPr>
      </w:pPr>
    </w:p>
    <w:p w:rsidR="00673090" w:rsidRDefault="00673090" w:rsidP="001567C0">
      <w:pPr>
        <w:ind w:right="386"/>
        <w:rPr>
          <w:b/>
        </w:rPr>
      </w:pPr>
      <w:r w:rsidRPr="00C42DA0">
        <w:rPr>
          <w:b/>
        </w:rPr>
        <w:t>Use of Working Balances</w:t>
      </w:r>
      <w:r w:rsidR="002129B0" w:rsidRPr="00C42DA0">
        <w:rPr>
          <w:b/>
        </w:rPr>
        <w:t xml:space="preserve"> and Transfers from Reserves</w:t>
      </w:r>
    </w:p>
    <w:p w:rsidR="001567C0" w:rsidRPr="00000222" w:rsidRDefault="001567C0" w:rsidP="001567C0">
      <w:pPr>
        <w:ind w:right="386"/>
        <w:rPr>
          <w:highlight w:val="yellow"/>
        </w:rPr>
      </w:pPr>
    </w:p>
    <w:p w:rsidR="00F314B8" w:rsidRDefault="007E34DD" w:rsidP="000D47C6">
      <w:pPr>
        <w:ind w:left="720" w:right="386" w:hanging="720"/>
      </w:pPr>
      <w:r>
        <w:t>57</w:t>
      </w:r>
      <w:r w:rsidR="000D47C6">
        <w:tab/>
      </w:r>
      <w:r w:rsidR="00673090" w:rsidRPr="00C42DA0">
        <w:t>Over the four year period of the MTF</w:t>
      </w:r>
      <w:r w:rsidR="00603CCF">
        <w:t>S</w:t>
      </w:r>
      <w:r w:rsidR="009B6FD6">
        <w:t xml:space="preserve"> </w:t>
      </w:r>
      <w:r w:rsidR="00673090" w:rsidRPr="00C42DA0">
        <w:t xml:space="preserve"> </w:t>
      </w:r>
      <w:r w:rsidR="00662F6E" w:rsidRPr="00C42DA0">
        <w:t>assuming delivery as planned</w:t>
      </w:r>
      <w:r w:rsidR="00770AB9">
        <w:t xml:space="preserve"> around £1</w:t>
      </w:r>
      <w:r w:rsidR="00CA5EBA">
        <w:t>0.8</w:t>
      </w:r>
      <w:r w:rsidR="00770AB9">
        <w:t xml:space="preserve"> million is drawn from earmarked reserves which currently stand at around £40 million</w:t>
      </w:r>
      <w:r w:rsidR="00513394" w:rsidRPr="00C42DA0">
        <w:t xml:space="preserve">, </w:t>
      </w:r>
      <w:r w:rsidR="00770AB9">
        <w:t xml:space="preserve">and around £1million from </w:t>
      </w:r>
      <w:r w:rsidR="002129B0" w:rsidRPr="00C42DA0">
        <w:t xml:space="preserve">working balances </w:t>
      </w:r>
      <w:r w:rsidR="00A441F6">
        <w:t xml:space="preserve">which </w:t>
      </w:r>
      <w:r w:rsidR="002129B0" w:rsidRPr="00C42DA0">
        <w:t>are maintained at £</w:t>
      </w:r>
      <w:r w:rsidR="00F314B8">
        <w:t>3.8 - 4 million,</w:t>
      </w:r>
      <w:r w:rsidR="002129B0" w:rsidRPr="00C42DA0">
        <w:t xml:space="preserve"> </w:t>
      </w:r>
      <w:r w:rsidR="000E5418" w:rsidRPr="00C42DA0">
        <w:t xml:space="preserve">a level which </w:t>
      </w:r>
      <w:r w:rsidR="00243D69" w:rsidRPr="00C42DA0">
        <w:t>is considered</w:t>
      </w:r>
      <w:r w:rsidR="000E5418" w:rsidRPr="00C42DA0">
        <w:t xml:space="preserve"> by the </w:t>
      </w:r>
      <w:r w:rsidR="00B74859" w:rsidRPr="00C42DA0">
        <w:t>Council’s Chief Financial Officer</w:t>
      </w:r>
      <w:r w:rsidR="000E5418" w:rsidRPr="00C42DA0">
        <w:t xml:space="preserve"> to be prudent, </w:t>
      </w:r>
      <w:r w:rsidR="00F314B8">
        <w:t>with the exception of 2023-24. This is manageable given</w:t>
      </w:r>
      <w:r w:rsidR="000D47C6">
        <w:t xml:space="preserve"> that i</w:t>
      </w:r>
      <w:r w:rsidR="00F314B8">
        <w:t xml:space="preserve">n 2024-25 there is an expectation that there will be a significant dividend payment from OCHL of around £5.3 million which should allow both the working balance and reserves to be re-stored to optimum levels. </w:t>
      </w:r>
    </w:p>
    <w:p w:rsidR="00F314B8" w:rsidRDefault="00F314B8" w:rsidP="00F314B8">
      <w:pPr>
        <w:pStyle w:val="ListParagraph"/>
        <w:ind w:right="386"/>
      </w:pPr>
    </w:p>
    <w:p w:rsidR="00F314B8" w:rsidRDefault="00F314B8" w:rsidP="00F314B8">
      <w:pPr>
        <w:pStyle w:val="ListParagraph"/>
        <w:ind w:right="386"/>
      </w:pPr>
    </w:p>
    <w:p w:rsidR="00673090" w:rsidRPr="00C42DA0" w:rsidRDefault="00603CCF" w:rsidP="007E34DD">
      <w:pPr>
        <w:pStyle w:val="ListParagraph"/>
        <w:numPr>
          <w:ilvl w:val="0"/>
          <w:numId w:val="52"/>
        </w:numPr>
        <w:ind w:left="709" w:right="386" w:hanging="709"/>
      </w:pPr>
      <w:r>
        <w:t>The MTFS</w:t>
      </w:r>
      <w:r w:rsidR="002129B0" w:rsidRPr="00C42DA0">
        <w:t xml:space="preserve"> makes provision for transfers from earmarked reserves of around £10</w:t>
      </w:r>
      <w:r w:rsidR="00F314B8">
        <w:t xml:space="preserve">.6 </w:t>
      </w:r>
      <w:r w:rsidR="002129B0" w:rsidRPr="00C42DA0">
        <w:t>million. This is around £1</w:t>
      </w:r>
      <w:r w:rsidR="00F314B8">
        <w:t>.6</w:t>
      </w:r>
      <w:r w:rsidR="002129B0" w:rsidRPr="00C42DA0">
        <w:t xml:space="preserve"> million higher than Members were advised of in June 2020</w:t>
      </w:r>
      <w:r w:rsidR="00A441F6">
        <w:t xml:space="preserve"> arising from the detailed work on the Budget setting process.</w:t>
      </w:r>
    </w:p>
    <w:p w:rsidR="001567C0" w:rsidRPr="00BD2C12" w:rsidRDefault="001567C0" w:rsidP="00673090">
      <w:pPr>
        <w:ind w:left="567" w:right="386" w:hanging="567"/>
      </w:pPr>
    </w:p>
    <w:p w:rsidR="00601571" w:rsidRPr="00BD2C12" w:rsidRDefault="00601571" w:rsidP="001567C0">
      <w:pPr>
        <w:tabs>
          <w:tab w:val="left" w:pos="630"/>
        </w:tabs>
        <w:ind w:right="386"/>
        <w:rPr>
          <w:b/>
        </w:rPr>
      </w:pPr>
      <w:r w:rsidRPr="00BD2C12">
        <w:rPr>
          <w:b/>
        </w:rPr>
        <w:lastRenderedPageBreak/>
        <w:t>Risk Implications</w:t>
      </w:r>
    </w:p>
    <w:p w:rsidR="001567C0" w:rsidRPr="00BD2C12" w:rsidRDefault="001567C0" w:rsidP="001567C0">
      <w:pPr>
        <w:ind w:right="386"/>
        <w:rPr>
          <w:b/>
        </w:rPr>
      </w:pPr>
    </w:p>
    <w:p w:rsidR="00227B6B" w:rsidRPr="00C02E4C" w:rsidRDefault="00227B6B" w:rsidP="007E34DD">
      <w:pPr>
        <w:pStyle w:val="ListParagraph"/>
        <w:numPr>
          <w:ilvl w:val="0"/>
          <w:numId w:val="52"/>
        </w:numPr>
        <w:ind w:left="709" w:right="386" w:hanging="709"/>
        <w:rPr>
          <w:sz w:val="22"/>
          <w:szCs w:val="22"/>
        </w:rPr>
      </w:pPr>
      <w:r w:rsidRPr="00BD2C12">
        <w:t xml:space="preserve">The main risks to the </w:t>
      </w:r>
      <w:r w:rsidR="00494F15" w:rsidRPr="00BD2C12">
        <w:t xml:space="preserve">balanced position </w:t>
      </w:r>
      <w:r w:rsidR="005F7D66" w:rsidRPr="00BD2C12">
        <w:t>of</w:t>
      </w:r>
      <w:r w:rsidR="00494F15" w:rsidRPr="00BD2C12">
        <w:t xml:space="preserve"> the </w:t>
      </w:r>
      <w:r w:rsidRPr="00BD2C12">
        <w:t>General Fund consultation budget</w:t>
      </w:r>
      <w:r w:rsidR="00494F15" w:rsidRPr="00BD2C12">
        <w:t xml:space="preserve"> </w:t>
      </w:r>
      <w:r w:rsidR="00FA2FF9" w:rsidRPr="00BD2C12">
        <w:t xml:space="preserve">(Appendix </w:t>
      </w:r>
      <w:r w:rsidR="008C3B46" w:rsidRPr="00BD2C12">
        <w:t>8</w:t>
      </w:r>
      <w:r w:rsidR="00FA2FF9" w:rsidRPr="00BD2C12">
        <w:t>)</w:t>
      </w:r>
      <w:r w:rsidR="00EC42E6" w:rsidRPr="00BD2C12">
        <w:t xml:space="preserve"> </w:t>
      </w:r>
      <w:r w:rsidR="00494F15" w:rsidRPr="00BD2C12">
        <w:t>are</w:t>
      </w:r>
      <w:r w:rsidR="0052514C" w:rsidRPr="00BD2C12">
        <w:t xml:space="preserve"> that</w:t>
      </w:r>
      <w:r w:rsidR="00494F15" w:rsidRPr="00BD2C12">
        <w:t>:</w:t>
      </w:r>
    </w:p>
    <w:p w:rsidR="00C02E4C" w:rsidRPr="007460FC" w:rsidRDefault="00C02E4C" w:rsidP="00C02E4C">
      <w:pPr>
        <w:pStyle w:val="ListParagraph"/>
        <w:ind w:right="386"/>
        <w:rPr>
          <w:sz w:val="22"/>
          <w:szCs w:val="22"/>
        </w:rPr>
      </w:pPr>
    </w:p>
    <w:p w:rsidR="00603CCF" w:rsidRDefault="00603CCF" w:rsidP="007E34DD">
      <w:pPr>
        <w:numPr>
          <w:ilvl w:val="0"/>
          <w:numId w:val="21"/>
        </w:numPr>
        <w:ind w:left="1077" w:right="386" w:hanging="357"/>
        <w:rPr>
          <w:color w:val="000000" w:themeColor="text1"/>
          <w:szCs w:val="22"/>
        </w:rPr>
      </w:pPr>
      <w:r>
        <w:rPr>
          <w:color w:val="000000" w:themeColor="text1"/>
          <w:szCs w:val="22"/>
        </w:rPr>
        <w:t>Spending Review</w:t>
      </w:r>
      <w:r w:rsidR="0081760A">
        <w:rPr>
          <w:color w:val="000000" w:themeColor="text1"/>
          <w:szCs w:val="22"/>
        </w:rPr>
        <w:t xml:space="preserve"> which has recently been announced </w:t>
      </w:r>
      <w:r>
        <w:rPr>
          <w:color w:val="000000" w:themeColor="text1"/>
          <w:szCs w:val="22"/>
        </w:rPr>
        <w:t>is not as favourable to Council as is assumed</w:t>
      </w:r>
    </w:p>
    <w:p w:rsidR="001A3FC4" w:rsidRPr="00C02E4C" w:rsidRDefault="00BD2C12" w:rsidP="007E34DD">
      <w:pPr>
        <w:numPr>
          <w:ilvl w:val="0"/>
          <w:numId w:val="21"/>
        </w:numPr>
        <w:ind w:left="1077" w:right="386" w:hanging="357"/>
        <w:rPr>
          <w:color w:val="000000" w:themeColor="text1"/>
          <w:szCs w:val="22"/>
        </w:rPr>
      </w:pPr>
      <w:r w:rsidRPr="00C02E4C">
        <w:rPr>
          <w:color w:val="000000" w:themeColor="text1"/>
          <w:szCs w:val="22"/>
        </w:rPr>
        <w:t>Council income streams continue to be effected by the pandemic beyond the pro</w:t>
      </w:r>
      <w:r w:rsidR="00603CCF">
        <w:rPr>
          <w:color w:val="000000" w:themeColor="text1"/>
          <w:szCs w:val="22"/>
        </w:rPr>
        <w:t>visions already made in the MTFS</w:t>
      </w:r>
    </w:p>
    <w:p w:rsidR="00CC329E" w:rsidRPr="00C02E4C" w:rsidRDefault="00A441F6" w:rsidP="007E34DD">
      <w:pPr>
        <w:numPr>
          <w:ilvl w:val="0"/>
          <w:numId w:val="21"/>
        </w:numPr>
        <w:ind w:left="1077" w:right="386" w:hanging="357"/>
        <w:rPr>
          <w:color w:val="000000" w:themeColor="text1"/>
          <w:szCs w:val="22"/>
        </w:rPr>
      </w:pPr>
      <w:r>
        <w:rPr>
          <w:color w:val="000000" w:themeColor="text1"/>
          <w:szCs w:val="22"/>
        </w:rPr>
        <w:t xml:space="preserve">The </w:t>
      </w:r>
      <w:r w:rsidR="00CC329E" w:rsidRPr="00C02E4C">
        <w:rPr>
          <w:color w:val="000000" w:themeColor="text1"/>
          <w:szCs w:val="22"/>
        </w:rPr>
        <w:t>Homelessness reserve is exhausted at a faster rate than anticipated</w:t>
      </w:r>
      <w:r w:rsidR="00BD2C12" w:rsidRPr="00C02E4C">
        <w:rPr>
          <w:color w:val="000000" w:themeColor="text1"/>
          <w:szCs w:val="22"/>
        </w:rPr>
        <w:t xml:space="preserve"> as assumed Government and contributions in </w:t>
      </w:r>
      <w:r w:rsidR="00D93703" w:rsidRPr="00C02E4C">
        <w:rPr>
          <w:color w:val="000000" w:themeColor="text1"/>
          <w:szCs w:val="22"/>
        </w:rPr>
        <w:t>respect</w:t>
      </w:r>
      <w:r w:rsidR="00BD2C12" w:rsidRPr="00C02E4C">
        <w:rPr>
          <w:color w:val="000000" w:themeColor="text1"/>
          <w:szCs w:val="22"/>
        </w:rPr>
        <w:t xml:space="preserve"> of homelessness expenditure </w:t>
      </w:r>
      <w:r>
        <w:rPr>
          <w:color w:val="000000" w:themeColor="text1"/>
          <w:szCs w:val="22"/>
        </w:rPr>
        <w:t xml:space="preserve">are </w:t>
      </w:r>
      <w:r w:rsidR="00BD2C12" w:rsidRPr="00C02E4C">
        <w:rPr>
          <w:color w:val="000000" w:themeColor="text1"/>
          <w:szCs w:val="22"/>
        </w:rPr>
        <w:t>not forthcoming</w:t>
      </w:r>
    </w:p>
    <w:p w:rsidR="00CC329E" w:rsidRPr="00C02E4C" w:rsidRDefault="00CC329E" w:rsidP="007E34DD">
      <w:pPr>
        <w:numPr>
          <w:ilvl w:val="0"/>
          <w:numId w:val="21"/>
        </w:numPr>
        <w:ind w:left="1077" w:right="386" w:hanging="357"/>
        <w:rPr>
          <w:color w:val="000000" w:themeColor="text1"/>
          <w:szCs w:val="22"/>
        </w:rPr>
      </w:pPr>
      <w:r w:rsidRPr="00C02E4C">
        <w:rPr>
          <w:color w:val="000000" w:themeColor="text1"/>
          <w:szCs w:val="22"/>
        </w:rPr>
        <w:t xml:space="preserve">Failure of </w:t>
      </w:r>
      <w:r w:rsidR="00A441F6">
        <w:rPr>
          <w:color w:val="000000" w:themeColor="text1"/>
          <w:szCs w:val="22"/>
        </w:rPr>
        <w:t xml:space="preserve">a </w:t>
      </w:r>
      <w:r w:rsidRPr="00C02E4C">
        <w:rPr>
          <w:color w:val="000000" w:themeColor="text1"/>
          <w:szCs w:val="22"/>
        </w:rPr>
        <w:t xml:space="preserve">major partner for instance </w:t>
      </w:r>
      <w:r w:rsidR="002E1FDE">
        <w:rPr>
          <w:color w:val="000000" w:themeColor="text1"/>
          <w:szCs w:val="22"/>
        </w:rPr>
        <w:t xml:space="preserve">in </w:t>
      </w:r>
      <w:r w:rsidRPr="00C02E4C">
        <w:rPr>
          <w:color w:val="000000" w:themeColor="text1"/>
          <w:szCs w:val="22"/>
        </w:rPr>
        <w:t xml:space="preserve">Leisure </w:t>
      </w:r>
    </w:p>
    <w:p w:rsidR="002F134D" w:rsidRPr="00C02E4C" w:rsidRDefault="002F134D" w:rsidP="007E34DD">
      <w:pPr>
        <w:numPr>
          <w:ilvl w:val="0"/>
          <w:numId w:val="21"/>
        </w:numPr>
        <w:ind w:left="1077" w:right="386" w:hanging="357"/>
        <w:rPr>
          <w:color w:val="000000" w:themeColor="text1"/>
          <w:szCs w:val="22"/>
        </w:rPr>
      </w:pPr>
      <w:r w:rsidRPr="00C02E4C">
        <w:rPr>
          <w:color w:val="000000" w:themeColor="text1"/>
          <w:szCs w:val="22"/>
        </w:rPr>
        <w:t>Variations of actual income and expenditure against budget especially in volatile areas such as income</w:t>
      </w:r>
      <w:r w:rsidR="001A3FC4" w:rsidRPr="00C02E4C">
        <w:rPr>
          <w:color w:val="000000" w:themeColor="text1"/>
          <w:szCs w:val="22"/>
        </w:rPr>
        <w:t xml:space="preserve"> and </w:t>
      </w:r>
      <w:r w:rsidR="00CC329E" w:rsidRPr="00C02E4C">
        <w:rPr>
          <w:color w:val="000000" w:themeColor="text1"/>
          <w:szCs w:val="22"/>
        </w:rPr>
        <w:t xml:space="preserve">property </w:t>
      </w:r>
      <w:r w:rsidR="001A3FC4" w:rsidRPr="00C02E4C">
        <w:rPr>
          <w:color w:val="000000" w:themeColor="text1"/>
          <w:szCs w:val="22"/>
        </w:rPr>
        <w:t>investment</w:t>
      </w:r>
      <w:r w:rsidR="00CC329E" w:rsidRPr="00C02E4C">
        <w:rPr>
          <w:color w:val="000000" w:themeColor="text1"/>
          <w:szCs w:val="22"/>
        </w:rPr>
        <w:t>s</w:t>
      </w:r>
    </w:p>
    <w:p w:rsidR="00956521" w:rsidRPr="00C02E4C" w:rsidRDefault="00956521" w:rsidP="007E34DD">
      <w:pPr>
        <w:numPr>
          <w:ilvl w:val="0"/>
          <w:numId w:val="21"/>
        </w:numPr>
        <w:ind w:left="1077" w:right="386" w:hanging="357"/>
        <w:rPr>
          <w:color w:val="000000" w:themeColor="text1"/>
          <w:szCs w:val="22"/>
        </w:rPr>
      </w:pPr>
      <w:r w:rsidRPr="00C02E4C">
        <w:rPr>
          <w:color w:val="000000" w:themeColor="text1"/>
          <w:szCs w:val="22"/>
        </w:rPr>
        <w:t>Pay negotiations are more than budgeted from April 2021 onwards</w:t>
      </w:r>
    </w:p>
    <w:p w:rsidR="00956521" w:rsidRPr="00C02E4C" w:rsidRDefault="00603CCF" w:rsidP="007E34DD">
      <w:pPr>
        <w:numPr>
          <w:ilvl w:val="0"/>
          <w:numId w:val="21"/>
        </w:numPr>
        <w:ind w:left="1077" w:right="386" w:hanging="357"/>
        <w:rPr>
          <w:color w:val="000000" w:themeColor="text1"/>
          <w:szCs w:val="22"/>
        </w:rPr>
      </w:pPr>
      <w:r>
        <w:rPr>
          <w:color w:val="000000" w:themeColor="text1"/>
          <w:szCs w:val="22"/>
        </w:rPr>
        <w:t>C</w:t>
      </w:r>
      <w:r w:rsidR="00704D06" w:rsidRPr="00C02E4C">
        <w:rPr>
          <w:color w:val="000000" w:themeColor="text1"/>
          <w:szCs w:val="22"/>
        </w:rPr>
        <w:t>ompanies do</w:t>
      </w:r>
      <w:r w:rsidR="00956521" w:rsidRPr="00C02E4C">
        <w:rPr>
          <w:color w:val="000000" w:themeColor="text1"/>
          <w:szCs w:val="22"/>
        </w:rPr>
        <w:t xml:space="preserve"> not perform as well leading to reduced income to </w:t>
      </w:r>
      <w:r w:rsidR="00A441F6">
        <w:rPr>
          <w:color w:val="000000" w:themeColor="text1"/>
          <w:szCs w:val="22"/>
        </w:rPr>
        <w:t xml:space="preserve">the </w:t>
      </w:r>
      <w:r w:rsidR="00956521" w:rsidRPr="00C02E4C">
        <w:rPr>
          <w:color w:val="000000" w:themeColor="text1"/>
          <w:szCs w:val="22"/>
        </w:rPr>
        <w:t>Council</w:t>
      </w:r>
    </w:p>
    <w:p w:rsidR="0063583C" w:rsidRPr="00C02E4C" w:rsidRDefault="00E462AA" w:rsidP="007E34DD">
      <w:pPr>
        <w:numPr>
          <w:ilvl w:val="0"/>
          <w:numId w:val="21"/>
        </w:numPr>
        <w:ind w:left="1077" w:right="386" w:hanging="357"/>
        <w:rPr>
          <w:color w:val="000000" w:themeColor="text1"/>
          <w:szCs w:val="22"/>
        </w:rPr>
      </w:pPr>
      <w:r w:rsidRPr="00C02E4C">
        <w:rPr>
          <w:color w:val="000000" w:themeColor="text1"/>
          <w:szCs w:val="22"/>
        </w:rPr>
        <w:t>Business Rate</w:t>
      </w:r>
      <w:r w:rsidR="0018345C" w:rsidRPr="00C02E4C">
        <w:rPr>
          <w:color w:val="000000" w:themeColor="text1"/>
          <w:szCs w:val="22"/>
        </w:rPr>
        <w:t xml:space="preserve">s income </w:t>
      </w:r>
      <w:r w:rsidRPr="00C02E4C">
        <w:rPr>
          <w:color w:val="000000" w:themeColor="text1"/>
          <w:szCs w:val="22"/>
        </w:rPr>
        <w:t xml:space="preserve"> </w:t>
      </w:r>
      <w:r w:rsidR="0018345C" w:rsidRPr="00C02E4C">
        <w:rPr>
          <w:color w:val="000000" w:themeColor="text1"/>
          <w:szCs w:val="22"/>
        </w:rPr>
        <w:t xml:space="preserve">is </w:t>
      </w:r>
      <w:r w:rsidR="00AB7A34" w:rsidRPr="00C02E4C">
        <w:rPr>
          <w:color w:val="000000" w:themeColor="text1"/>
          <w:szCs w:val="22"/>
        </w:rPr>
        <w:t>lower than</w:t>
      </w:r>
      <w:r w:rsidR="0018345C" w:rsidRPr="00C02E4C">
        <w:rPr>
          <w:color w:val="000000" w:themeColor="text1"/>
          <w:szCs w:val="22"/>
        </w:rPr>
        <w:t xml:space="preserve"> forecast</w:t>
      </w:r>
    </w:p>
    <w:p w:rsidR="004876F5" w:rsidRPr="00C02E4C" w:rsidRDefault="00494F15" w:rsidP="007E34DD">
      <w:pPr>
        <w:numPr>
          <w:ilvl w:val="0"/>
          <w:numId w:val="21"/>
        </w:numPr>
        <w:ind w:left="1077" w:right="386" w:hanging="357"/>
        <w:rPr>
          <w:color w:val="000000" w:themeColor="text1"/>
          <w:sz w:val="22"/>
          <w:szCs w:val="22"/>
        </w:rPr>
      </w:pPr>
      <w:r w:rsidRPr="00C02E4C">
        <w:rPr>
          <w:color w:val="000000" w:themeColor="text1"/>
          <w:szCs w:val="22"/>
        </w:rPr>
        <w:t>Interest rates</w:t>
      </w:r>
      <w:r w:rsidR="00C9304F" w:rsidRPr="00C02E4C">
        <w:rPr>
          <w:color w:val="000000" w:themeColor="text1"/>
          <w:szCs w:val="22"/>
        </w:rPr>
        <w:t xml:space="preserve"> </w:t>
      </w:r>
      <w:r w:rsidR="00B74859" w:rsidRPr="00C02E4C">
        <w:rPr>
          <w:color w:val="000000" w:themeColor="text1"/>
          <w:szCs w:val="22"/>
        </w:rPr>
        <w:t xml:space="preserve">are </w:t>
      </w:r>
      <w:r w:rsidR="00CC329E" w:rsidRPr="00C02E4C">
        <w:rPr>
          <w:color w:val="000000" w:themeColor="text1"/>
          <w:szCs w:val="22"/>
        </w:rPr>
        <w:t>higher</w:t>
      </w:r>
      <w:r w:rsidR="004876F5" w:rsidRPr="00C02E4C">
        <w:rPr>
          <w:color w:val="000000" w:themeColor="text1"/>
          <w:szCs w:val="22"/>
        </w:rPr>
        <w:t xml:space="preserve"> than projected</w:t>
      </w:r>
      <w:r w:rsidR="00BD2C12" w:rsidRPr="00C02E4C">
        <w:rPr>
          <w:color w:val="000000" w:themeColor="text1"/>
          <w:szCs w:val="22"/>
        </w:rPr>
        <w:t xml:space="preserve"> resulting in higher borrowing costs</w:t>
      </w:r>
    </w:p>
    <w:p w:rsidR="001C5E3F" w:rsidRPr="00C02E4C" w:rsidRDefault="00956521" w:rsidP="007E34DD">
      <w:pPr>
        <w:numPr>
          <w:ilvl w:val="0"/>
          <w:numId w:val="21"/>
        </w:numPr>
        <w:ind w:left="1077" w:right="386" w:hanging="357"/>
        <w:rPr>
          <w:color w:val="000000" w:themeColor="text1"/>
          <w:sz w:val="22"/>
          <w:szCs w:val="22"/>
        </w:rPr>
      </w:pPr>
      <w:r w:rsidRPr="00C02E4C">
        <w:rPr>
          <w:color w:val="000000" w:themeColor="text1"/>
          <w:szCs w:val="22"/>
        </w:rPr>
        <w:t>S</w:t>
      </w:r>
      <w:r w:rsidR="001C5E3F" w:rsidRPr="00C02E4C">
        <w:rPr>
          <w:color w:val="000000" w:themeColor="text1"/>
          <w:szCs w:val="22"/>
        </w:rPr>
        <w:t>lippage in the capital programme adver</w:t>
      </w:r>
      <w:r w:rsidR="00A57C7D" w:rsidRPr="00C02E4C">
        <w:rPr>
          <w:color w:val="000000" w:themeColor="text1"/>
          <w:szCs w:val="22"/>
        </w:rPr>
        <w:t>sely a</w:t>
      </w:r>
      <w:r w:rsidR="001C5E3F" w:rsidRPr="00C02E4C">
        <w:rPr>
          <w:color w:val="000000" w:themeColor="text1"/>
          <w:szCs w:val="22"/>
        </w:rPr>
        <w:t>ffects revenue savings a</w:t>
      </w:r>
      <w:r w:rsidR="00A57C7D" w:rsidRPr="00C02E4C">
        <w:rPr>
          <w:color w:val="000000" w:themeColor="text1"/>
          <w:szCs w:val="22"/>
        </w:rPr>
        <w:t>nd additional income in the MTF</w:t>
      </w:r>
      <w:r w:rsidR="001156ED">
        <w:rPr>
          <w:color w:val="000000" w:themeColor="text1"/>
          <w:szCs w:val="22"/>
        </w:rPr>
        <w:t>S</w:t>
      </w:r>
    </w:p>
    <w:p w:rsidR="00447C29" w:rsidRPr="00000222" w:rsidRDefault="00447C29" w:rsidP="00447C29">
      <w:pPr>
        <w:ind w:right="386"/>
        <w:rPr>
          <w:szCs w:val="22"/>
          <w:highlight w:val="yellow"/>
        </w:rPr>
      </w:pPr>
    </w:p>
    <w:p w:rsidR="00447C29" w:rsidRPr="00B661CE" w:rsidRDefault="005F0903" w:rsidP="001567C0">
      <w:pPr>
        <w:tabs>
          <w:tab w:val="left" w:pos="630"/>
        </w:tabs>
        <w:ind w:right="386"/>
        <w:rPr>
          <w:b/>
          <w:szCs w:val="22"/>
        </w:rPr>
      </w:pPr>
      <w:r w:rsidRPr="00B661CE">
        <w:rPr>
          <w:b/>
          <w:szCs w:val="22"/>
        </w:rPr>
        <w:t>Wholly Owned Companies and Joint Ventures</w:t>
      </w:r>
    </w:p>
    <w:p w:rsidR="00447C29" w:rsidRPr="00B661CE" w:rsidRDefault="00447C29" w:rsidP="00447C29">
      <w:pPr>
        <w:ind w:right="386"/>
        <w:rPr>
          <w:szCs w:val="22"/>
        </w:rPr>
      </w:pPr>
    </w:p>
    <w:p w:rsidR="00447C29" w:rsidRPr="00B661CE" w:rsidRDefault="001567C0" w:rsidP="001567C0">
      <w:pPr>
        <w:tabs>
          <w:tab w:val="left" w:pos="630"/>
        </w:tabs>
        <w:ind w:right="386"/>
        <w:rPr>
          <w:rFonts w:cs="Arial"/>
          <w:b/>
        </w:rPr>
      </w:pPr>
      <w:r w:rsidRPr="00B661CE">
        <w:rPr>
          <w:rFonts w:cs="Arial"/>
          <w:b/>
        </w:rPr>
        <w:t>Oxford Direct Services Ltd</w:t>
      </w:r>
    </w:p>
    <w:p w:rsidR="001567C0" w:rsidRPr="00B661CE" w:rsidRDefault="001567C0" w:rsidP="001567C0">
      <w:pPr>
        <w:tabs>
          <w:tab w:val="left" w:pos="630"/>
        </w:tabs>
        <w:ind w:right="386"/>
        <w:rPr>
          <w:rFonts w:cs="Arial"/>
          <w:b/>
        </w:rPr>
      </w:pPr>
    </w:p>
    <w:p w:rsidR="00447C29" w:rsidRPr="00B661CE" w:rsidRDefault="00B74859" w:rsidP="007E34DD">
      <w:pPr>
        <w:pStyle w:val="ListParagraph"/>
        <w:numPr>
          <w:ilvl w:val="0"/>
          <w:numId w:val="53"/>
        </w:numPr>
        <w:ind w:left="709" w:right="386" w:hanging="709"/>
      </w:pPr>
      <w:r w:rsidRPr="00B661CE">
        <w:t xml:space="preserve">On </w:t>
      </w:r>
      <w:r w:rsidR="00447C29" w:rsidRPr="00B661CE">
        <w:t>1</w:t>
      </w:r>
      <w:r w:rsidR="00447C29" w:rsidRPr="00C02E4C">
        <w:rPr>
          <w:vertAlign w:val="superscript"/>
        </w:rPr>
        <w:t>st</w:t>
      </w:r>
      <w:r w:rsidR="00447C29" w:rsidRPr="00B661CE">
        <w:t xml:space="preserve"> April 2016 the Council established a wholly owned local authority trading company for services provided by Direct Services at that</w:t>
      </w:r>
      <w:r w:rsidR="00F94707" w:rsidRPr="00B661CE">
        <w:t xml:space="preserve"> time. The company takes the fo</w:t>
      </w:r>
      <w:r w:rsidR="00FA7EA6" w:rsidRPr="00B661CE">
        <w:t>r</w:t>
      </w:r>
      <w:r w:rsidR="00447C29" w:rsidRPr="00B661CE">
        <w:t>m of:</w:t>
      </w:r>
    </w:p>
    <w:p w:rsidR="00447C29" w:rsidRPr="00B661CE" w:rsidRDefault="00447C29" w:rsidP="00DA542F">
      <w:pPr>
        <w:ind w:left="540" w:right="386" w:hanging="720"/>
      </w:pPr>
    </w:p>
    <w:p w:rsidR="00447C29" w:rsidRPr="00B661CE" w:rsidRDefault="00447C29" w:rsidP="007E34DD">
      <w:pPr>
        <w:pStyle w:val="ListParagraph"/>
        <w:numPr>
          <w:ilvl w:val="0"/>
          <w:numId w:val="22"/>
        </w:numPr>
        <w:ind w:right="386" w:hanging="589"/>
      </w:pPr>
      <w:r w:rsidRPr="00B661CE">
        <w:t xml:space="preserve">A </w:t>
      </w:r>
      <w:proofErr w:type="spellStart"/>
      <w:r w:rsidRPr="00B661CE">
        <w:t>Teckal</w:t>
      </w:r>
      <w:proofErr w:type="spellEnd"/>
      <w:r w:rsidRPr="00B661CE">
        <w:t xml:space="preserve"> company (Oxford Direct Services Ltd)– providing all statutory services to the Council benefiting from a procurement exemption together with externally traded services for engineering, motor transport and building works</w:t>
      </w:r>
    </w:p>
    <w:p w:rsidR="00447C29" w:rsidRPr="00B661CE" w:rsidRDefault="00447C29" w:rsidP="007E34DD">
      <w:pPr>
        <w:pStyle w:val="ListParagraph"/>
        <w:numPr>
          <w:ilvl w:val="0"/>
          <w:numId w:val="22"/>
        </w:numPr>
        <w:ind w:right="386" w:hanging="589"/>
      </w:pPr>
      <w:r w:rsidRPr="00B661CE">
        <w:t>A Trading Company (Oxford Direct Services Trading Ltd) – providing externally traded commercial waste services</w:t>
      </w:r>
    </w:p>
    <w:p w:rsidR="00447C29" w:rsidRPr="00000222" w:rsidRDefault="00447C29" w:rsidP="00DA542F">
      <w:pPr>
        <w:ind w:right="386" w:hanging="281"/>
        <w:rPr>
          <w:highlight w:val="yellow"/>
        </w:rPr>
      </w:pPr>
    </w:p>
    <w:p w:rsidR="00447C29" w:rsidRPr="00F16CE9" w:rsidRDefault="00447C29" w:rsidP="007E34DD">
      <w:pPr>
        <w:pStyle w:val="ListParagraph"/>
        <w:numPr>
          <w:ilvl w:val="0"/>
          <w:numId w:val="54"/>
        </w:numPr>
        <w:tabs>
          <w:tab w:val="clear" w:pos="1440"/>
          <w:tab w:val="num" w:pos="1134"/>
        </w:tabs>
        <w:ind w:left="709" w:right="386" w:hanging="709"/>
      </w:pPr>
      <w:r w:rsidRPr="00F16CE9">
        <w:t xml:space="preserve">The company </w:t>
      </w:r>
      <w:r w:rsidR="00B661CE" w:rsidRPr="00F16CE9">
        <w:t xml:space="preserve">entered its third year of trading in 2020-21 since </w:t>
      </w:r>
      <w:r w:rsidR="00A441F6">
        <w:t>becoming</w:t>
      </w:r>
      <w:r w:rsidR="00B661CE" w:rsidRPr="00F16CE9">
        <w:t xml:space="preserve"> </w:t>
      </w:r>
      <w:r w:rsidRPr="00F16CE9">
        <w:t>operational from 1</w:t>
      </w:r>
      <w:r w:rsidRPr="00F16CE9">
        <w:rPr>
          <w:vertAlign w:val="superscript"/>
        </w:rPr>
        <w:t>ST</w:t>
      </w:r>
      <w:r w:rsidRPr="00F16CE9">
        <w:t xml:space="preserve"> April 2018</w:t>
      </w:r>
      <w:r w:rsidR="00B661CE" w:rsidRPr="00F16CE9">
        <w:t xml:space="preserve">. In the first year of trading the Company paid the Council </w:t>
      </w:r>
      <w:r w:rsidR="00EC1FBF">
        <w:t xml:space="preserve">£1.247 million </w:t>
      </w:r>
      <w:r w:rsidR="00B661CE" w:rsidRPr="00F16CE9">
        <w:t xml:space="preserve">in </w:t>
      </w:r>
      <w:r w:rsidR="00EC1FBF">
        <w:t>d</w:t>
      </w:r>
      <w:r w:rsidR="00B661CE" w:rsidRPr="00F16CE9">
        <w:t xml:space="preserve">ividend </w:t>
      </w:r>
      <w:r w:rsidR="00EC1FBF">
        <w:t xml:space="preserve">in line with expectation </w:t>
      </w:r>
      <w:r w:rsidR="00B661CE" w:rsidRPr="00F16CE9">
        <w:t xml:space="preserve">although </w:t>
      </w:r>
      <w:r w:rsidR="00EC1FBF">
        <w:t>the Company Board have yet to approve a dividend for 2019-20. Although the Council has set a target of around £600k to be paid in this financial year, t</w:t>
      </w:r>
      <w:r w:rsidR="00EC1FBF" w:rsidRPr="00F16CE9">
        <w:t xml:space="preserve">he Company has </w:t>
      </w:r>
      <w:r w:rsidR="003C42AA" w:rsidRPr="00F16CE9">
        <w:t>experienced</w:t>
      </w:r>
      <w:r w:rsidR="00EC1FBF" w:rsidRPr="00F16CE9">
        <w:t xml:space="preserve"> difficult trading condi</w:t>
      </w:r>
      <w:r w:rsidR="00D93703">
        <w:t>tio</w:t>
      </w:r>
      <w:r w:rsidR="00EC1FBF" w:rsidRPr="00F16CE9">
        <w:t xml:space="preserve">ns for this year 2020-21 with an overall loss of around £200- £300k forecast against a revised </w:t>
      </w:r>
      <w:r w:rsidR="00EC1FBF">
        <w:t xml:space="preserve">breakeven </w:t>
      </w:r>
      <w:r w:rsidR="00EC1FBF" w:rsidRPr="00F16CE9">
        <w:t>position taking account of COVID</w:t>
      </w:r>
      <w:r w:rsidR="00BD2F96">
        <w:t xml:space="preserve"> 19</w:t>
      </w:r>
      <w:r w:rsidR="00EC1FBF" w:rsidRPr="00F16CE9">
        <w:t xml:space="preserve">. Any </w:t>
      </w:r>
      <w:r w:rsidR="00D93703" w:rsidRPr="00F16CE9">
        <w:t>dividend</w:t>
      </w:r>
      <w:r w:rsidR="00A441F6">
        <w:t xml:space="preserve"> payment to the C</w:t>
      </w:r>
      <w:r w:rsidR="00EC1FBF" w:rsidRPr="00F16CE9">
        <w:t xml:space="preserve">ouncil in this financial year </w:t>
      </w:r>
      <w:r w:rsidR="003C42AA">
        <w:t>2020-21 is therefore like</w:t>
      </w:r>
      <w:r w:rsidR="003C42AA" w:rsidRPr="00F16CE9">
        <w:t>ly</w:t>
      </w:r>
      <w:r w:rsidR="00EC1FBF" w:rsidRPr="00F16CE9">
        <w:t xml:space="preserve"> t</w:t>
      </w:r>
      <w:r w:rsidR="003C42AA">
        <w:t>o</w:t>
      </w:r>
      <w:r w:rsidR="00EC1FBF" w:rsidRPr="00F16CE9">
        <w:t xml:space="preserve"> be from retained earnings </w:t>
      </w:r>
      <w:r w:rsidR="00A441F6">
        <w:t xml:space="preserve">from within the Company </w:t>
      </w:r>
      <w:r w:rsidR="003C42AA">
        <w:t>a</w:t>
      </w:r>
      <w:r w:rsidR="00EC1FBF">
        <w:t>lthough th</w:t>
      </w:r>
      <w:r w:rsidR="003C42AA">
        <w:t>is</w:t>
      </w:r>
      <w:r w:rsidR="00EC1FBF">
        <w:t xml:space="preserve"> outcome remains challengin</w:t>
      </w:r>
      <w:r w:rsidR="003C42AA">
        <w:t>g.</w:t>
      </w:r>
      <w:r w:rsidR="00A7010B" w:rsidRPr="00F16CE9">
        <w:t xml:space="preserve"> </w:t>
      </w:r>
      <w:r w:rsidR="00F94707" w:rsidRPr="00F16CE9">
        <w:t xml:space="preserve"> </w:t>
      </w:r>
    </w:p>
    <w:p w:rsidR="00447C29" w:rsidRPr="00F16CE9" w:rsidRDefault="00447C29" w:rsidP="00960F77">
      <w:pPr>
        <w:ind w:left="709" w:right="386" w:hanging="709"/>
      </w:pPr>
    </w:p>
    <w:p w:rsidR="00447C29" w:rsidRPr="00F16CE9" w:rsidRDefault="00653A9E" w:rsidP="007E34DD">
      <w:pPr>
        <w:pStyle w:val="ListParagraph"/>
        <w:numPr>
          <w:ilvl w:val="0"/>
          <w:numId w:val="54"/>
        </w:numPr>
        <w:ind w:left="709" w:right="386" w:hanging="709"/>
      </w:pPr>
      <w:r w:rsidRPr="00F16CE9">
        <w:t xml:space="preserve">The revised Company Business Plan will be submitted to shareholders in </w:t>
      </w:r>
      <w:r w:rsidR="00BF76DF">
        <w:t>December</w:t>
      </w:r>
      <w:r w:rsidRPr="00F16CE9">
        <w:t xml:space="preserve">. </w:t>
      </w:r>
      <w:r w:rsidR="00D93703" w:rsidRPr="00F16CE9">
        <w:t>Estimated</w:t>
      </w:r>
      <w:r w:rsidRPr="00F16CE9">
        <w:t xml:space="preserve"> </w:t>
      </w:r>
      <w:r w:rsidR="00D93703" w:rsidRPr="00F16CE9">
        <w:t>dividend</w:t>
      </w:r>
      <w:r w:rsidRPr="00F16CE9">
        <w:t xml:space="preserve"> </w:t>
      </w:r>
      <w:r w:rsidR="00D93703" w:rsidRPr="00F16CE9">
        <w:t>returns</w:t>
      </w:r>
      <w:r w:rsidRPr="00F16CE9">
        <w:t xml:space="preserve"> to the Council </w:t>
      </w:r>
      <w:r w:rsidR="00D93703" w:rsidRPr="00F16CE9">
        <w:t>across</w:t>
      </w:r>
      <w:r w:rsidR="001156ED">
        <w:t xml:space="preserve"> the MTFS</w:t>
      </w:r>
      <w:r w:rsidRPr="00F16CE9">
        <w:t xml:space="preserve"> are </w:t>
      </w:r>
      <w:r w:rsidRPr="00F16CE9">
        <w:lastRenderedPageBreak/>
        <w:t xml:space="preserve">based on a split of ‘guaranteed income’ arising from payments for </w:t>
      </w:r>
      <w:r w:rsidR="00D93703" w:rsidRPr="00F16CE9">
        <w:t>statutory</w:t>
      </w:r>
      <w:r w:rsidRPr="00F16CE9">
        <w:t xml:space="preserve"> services and also </w:t>
      </w:r>
      <w:r w:rsidR="00D93703" w:rsidRPr="00F16CE9">
        <w:t>efficiencies</w:t>
      </w:r>
      <w:r w:rsidRPr="00F16CE9">
        <w:t xml:space="preserve"> from the single </w:t>
      </w:r>
      <w:r w:rsidR="00D93703" w:rsidRPr="00F16CE9">
        <w:t>depot</w:t>
      </w:r>
      <w:r w:rsidRPr="00F16CE9">
        <w:t>, once constructed and unsecured income including efficiency savings which the Company</w:t>
      </w:r>
      <w:r w:rsidR="00A441F6">
        <w:t xml:space="preserve"> IS</w:t>
      </w:r>
      <w:r w:rsidRPr="00F16CE9">
        <w:t xml:space="preserve"> seeking to drive. This shown in more </w:t>
      </w:r>
      <w:r w:rsidR="00D93703" w:rsidRPr="00F16CE9">
        <w:t>detail</w:t>
      </w:r>
      <w:r w:rsidRPr="00F16CE9">
        <w:t xml:space="preserve"> below.</w:t>
      </w:r>
      <w:r w:rsidR="00447C29" w:rsidRPr="00F16CE9">
        <w:t xml:space="preserve"> </w:t>
      </w:r>
    </w:p>
    <w:p w:rsidR="00447C29" w:rsidRPr="00F16CE9" w:rsidRDefault="00447C29" w:rsidP="00447C29">
      <w:pPr>
        <w:ind w:left="540" w:right="386" w:hanging="540"/>
      </w:pPr>
    </w:p>
    <w:tbl>
      <w:tblPr>
        <w:tblStyle w:val="TableGrid"/>
        <w:tblW w:w="0" w:type="auto"/>
        <w:tblLook w:val="04A0" w:firstRow="1" w:lastRow="0" w:firstColumn="1" w:lastColumn="0" w:noHBand="0" w:noVBand="1"/>
      </w:tblPr>
      <w:tblGrid>
        <w:gridCol w:w="2235"/>
        <w:gridCol w:w="1701"/>
        <w:gridCol w:w="1842"/>
        <w:gridCol w:w="1843"/>
        <w:gridCol w:w="1364"/>
      </w:tblGrid>
      <w:tr w:rsidR="00447C29" w:rsidRPr="00F16CE9" w:rsidTr="00F16CE9">
        <w:tc>
          <w:tcPr>
            <w:tcW w:w="8985" w:type="dxa"/>
            <w:gridSpan w:val="5"/>
          </w:tcPr>
          <w:p w:rsidR="00447C29" w:rsidRPr="00F16CE9" w:rsidRDefault="00447C29" w:rsidP="00F6402D">
            <w:pPr>
              <w:rPr>
                <w:b/>
                <w:color w:val="000000"/>
              </w:rPr>
            </w:pPr>
            <w:r w:rsidRPr="00F16CE9">
              <w:rPr>
                <w:b/>
                <w:color w:val="000000"/>
              </w:rPr>
              <w:t xml:space="preserve">Table </w:t>
            </w:r>
            <w:r w:rsidR="00967143">
              <w:rPr>
                <w:b/>
                <w:color w:val="000000"/>
              </w:rPr>
              <w:t>10</w:t>
            </w:r>
            <w:r w:rsidRPr="00F16CE9">
              <w:rPr>
                <w:b/>
                <w:color w:val="000000"/>
              </w:rPr>
              <w:t xml:space="preserve"> : Estimated LATCO dividend 20</w:t>
            </w:r>
            <w:r w:rsidR="00F94707" w:rsidRPr="00F16CE9">
              <w:rPr>
                <w:b/>
                <w:color w:val="000000"/>
              </w:rPr>
              <w:t>2</w:t>
            </w:r>
            <w:r w:rsidR="00F16CE9" w:rsidRPr="00F16CE9">
              <w:rPr>
                <w:b/>
                <w:color w:val="000000"/>
              </w:rPr>
              <w:t>1</w:t>
            </w:r>
            <w:r w:rsidRPr="00F16CE9">
              <w:rPr>
                <w:b/>
                <w:color w:val="000000"/>
              </w:rPr>
              <w:t>-2</w:t>
            </w:r>
            <w:r w:rsidR="00F16CE9" w:rsidRPr="00F16CE9">
              <w:rPr>
                <w:b/>
                <w:color w:val="000000"/>
              </w:rPr>
              <w:t>2</w:t>
            </w:r>
            <w:r w:rsidRPr="00F16CE9">
              <w:rPr>
                <w:b/>
                <w:color w:val="000000"/>
              </w:rPr>
              <w:t xml:space="preserve"> to 202</w:t>
            </w:r>
            <w:r w:rsidR="00155587">
              <w:rPr>
                <w:b/>
                <w:color w:val="000000"/>
              </w:rPr>
              <w:t>4</w:t>
            </w:r>
            <w:r w:rsidRPr="00F16CE9">
              <w:rPr>
                <w:b/>
                <w:color w:val="000000"/>
              </w:rPr>
              <w:t>/2</w:t>
            </w:r>
            <w:r w:rsidR="00F16CE9" w:rsidRPr="00F16CE9">
              <w:rPr>
                <w:b/>
                <w:color w:val="000000"/>
              </w:rPr>
              <w:t>5</w:t>
            </w:r>
          </w:p>
        </w:tc>
      </w:tr>
      <w:tr w:rsidR="00447C29" w:rsidRPr="00F16CE9" w:rsidTr="00F16CE9">
        <w:tc>
          <w:tcPr>
            <w:tcW w:w="2235" w:type="dxa"/>
          </w:tcPr>
          <w:p w:rsidR="00447C29" w:rsidRPr="00F16CE9" w:rsidRDefault="00447C29" w:rsidP="00447C29">
            <w:pPr>
              <w:rPr>
                <w:color w:val="000000"/>
              </w:rPr>
            </w:pPr>
          </w:p>
        </w:tc>
        <w:tc>
          <w:tcPr>
            <w:tcW w:w="1701" w:type="dxa"/>
            <w:shd w:val="clear" w:color="auto" w:fill="D9D9D9" w:themeFill="background1" w:themeFillShade="D9"/>
          </w:tcPr>
          <w:p w:rsidR="00447C29" w:rsidRPr="00F16CE9" w:rsidRDefault="00447C29" w:rsidP="00D93703">
            <w:pPr>
              <w:jc w:val="center"/>
              <w:rPr>
                <w:b/>
                <w:color w:val="000000"/>
              </w:rPr>
            </w:pPr>
            <w:r w:rsidRPr="00F16CE9">
              <w:rPr>
                <w:b/>
                <w:color w:val="000000"/>
              </w:rPr>
              <w:t>£000s</w:t>
            </w:r>
          </w:p>
        </w:tc>
        <w:tc>
          <w:tcPr>
            <w:tcW w:w="1842" w:type="dxa"/>
            <w:shd w:val="clear" w:color="auto" w:fill="D9D9D9" w:themeFill="background1" w:themeFillShade="D9"/>
          </w:tcPr>
          <w:p w:rsidR="00447C29" w:rsidRPr="00F16CE9" w:rsidRDefault="00447C29" w:rsidP="00D93703">
            <w:pPr>
              <w:jc w:val="center"/>
              <w:rPr>
                <w:b/>
              </w:rPr>
            </w:pPr>
            <w:r w:rsidRPr="00F16CE9">
              <w:rPr>
                <w:b/>
                <w:color w:val="000000"/>
              </w:rPr>
              <w:t>£000s</w:t>
            </w:r>
          </w:p>
        </w:tc>
        <w:tc>
          <w:tcPr>
            <w:tcW w:w="1843" w:type="dxa"/>
            <w:shd w:val="clear" w:color="auto" w:fill="D9D9D9" w:themeFill="background1" w:themeFillShade="D9"/>
          </w:tcPr>
          <w:p w:rsidR="00447C29" w:rsidRPr="00F16CE9" w:rsidRDefault="00447C29" w:rsidP="00D93703">
            <w:pPr>
              <w:jc w:val="center"/>
              <w:rPr>
                <w:b/>
              </w:rPr>
            </w:pPr>
            <w:r w:rsidRPr="00F16CE9">
              <w:rPr>
                <w:b/>
                <w:color w:val="000000"/>
              </w:rPr>
              <w:t>£000s</w:t>
            </w:r>
          </w:p>
        </w:tc>
        <w:tc>
          <w:tcPr>
            <w:tcW w:w="1364" w:type="dxa"/>
            <w:shd w:val="clear" w:color="auto" w:fill="D9D9D9" w:themeFill="background1" w:themeFillShade="D9"/>
          </w:tcPr>
          <w:p w:rsidR="00447C29" w:rsidRPr="00F16CE9" w:rsidRDefault="00447C29" w:rsidP="00D93703">
            <w:pPr>
              <w:jc w:val="center"/>
              <w:rPr>
                <w:b/>
              </w:rPr>
            </w:pPr>
            <w:r w:rsidRPr="00F16CE9">
              <w:rPr>
                <w:b/>
                <w:color w:val="000000"/>
              </w:rPr>
              <w:t>£000s</w:t>
            </w:r>
          </w:p>
        </w:tc>
      </w:tr>
      <w:tr w:rsidR="00F16CE9" w:rsidRPr="00F16CE9" w:rsidTr="00F16CE9">
        <w:tc>
          <w:tcPr>
            <w:tcW w:w="2235" w:type="dxa"/>
          </w:tcPr>
          <w:p w:rsidR="00F16CE9" w:rsidRPr="00F16CE9" w:rsidRDefault="00F16CE9" w:rsidP="00F16CE9">
            <w:pPr>
              <w:rPr>
                <w:color w:val="000000"/>
              </w:rPr>
            </w:pPr>
          </w:p>
        </w:tc>
        <w:tc>
          <w:tcPr>
            <w:tcW w:w="1701" w:type="dxa"/>
            <w:shd w:val="clear" w:color="auto" w:fill="D9D9D9" w:themeFill="background1" w:themeFillShade="D9"/>
          </w:tcPr>
          <w:p w:rsidR="00F16CE9" w:rsidRPr="00F16CE9" w:rsidRDefault="00F16CE9" w:rsidP="00D93703">
            <w:pPr>
              <w:jc w:val="center"/>
              <w:rPr>
                <w:b/>
                <w:color w:val="000000"/>
              </w:rPr>
            </w:pPr>
            <w:r w:rsidRPr="00F16CE9">
              <w:rPr>
                <w:b/>
                <w:color w:val="000000"/>
              </w:rPr>
              <w:t>2021-22</w:t>
            </w:r>
          </w:p>
        </w:tc>
        <w:tc>
          <w:tcPr>
            <w:tcW w:w="1842" w:type="dxa"/>
            <w:shd w:val="clear" w:color="auto" w:fill="D9D9D9" w:themeFill="background1" w:themeFillShade="D9"/>
          </w:tcPr>
          <w:p w:rsidR="00F16CE9" w:rsidRPr="00F16CE9" w:rsidRDefault="00F16CE9" w:rsidP="00D93703">
            <w:pPr>
              <w:jc w:val="center"/>
              <w:rPr>
                <w:b/>
                <w:color w:val="000000"/>
              </w:rPr>
            </w:pPr>
            <w:r w:rsidRPr="00F16CE9">
              <w:rPr>
                <w:b/>
                <w:color w:val="000000"/>
              </w:rPr>
              <w:t>2022-23</w:t>
            </w:r>
          </w:p>
        </w:tc>
        <w:tc>
          <w:tcPr>
            <w:tcW w:w="1843" w:type="dxa"/>
            <w:shd w:val="clear" w:color="auto" w:fill="D9D9D9" w:themeFill="background1" w:themeFillShade="D9"/>
          </w:tcPr>
          <w:p w:rsidR="00F16CE9" w:rsidRPr="00F16CE9" w:rsidRDefault="00F16CE9" w:rsidP="00D93703">
            <w:pPr>
              <w:jc w:val="center"/>
              <w:rPr>
                <w:b/>
                <w:color w:val="000000"/>
              </w:rPr>
            </w:pPr>
            <w:r w:rsidRPr="00F16CE9">
              <w:rPr>
                <w:b/>
                <w:color w:val="000000"/>
              </w:rPr>
              <w:t>2023-24</w:t>
            </w:r>
          </w:p>
        </w:tc>
        <w:tc>
          <w:tcPr>
            <w:tcW w:w="1364" w:type="dxa"/>
            <w:shd w:val="clear" w:color="auto" w:fill="D9D9D9" w:themeFill="background1" w:themeFillShade="D9"/>
          </w:tcPr>
          <w:p w:rsidR="00F16CE9" w:rsidRPr="00F16CE9" w:rsidRDefault="00F16CE9" w:rsidP="00D93703">
            <w:pPr>
              <w:jc w:val="center"/>
              <w:rPr>
                <w:b/>
                <w:color w:val="000000"/>
              </w:rPr>
            </w:pPr>
            <w:r w:rsidRPr="00F16CE9">
              <w:rPr>
                <w:b/>
                <w:color w:val="000000"/>
              </w:rPr>
              <w:t>2024-25</w:t>
            </w:r>
          </w:p>
        </w:tc>
      </w:tr>
      <w:tr w:rsidR="00F16CE9" w:rsidRPr="00F16CE9" w:rsidTr="00F16CE9">
        <w:tc>
          <w:tcPr>
            <w:tcW w:w="2235" w:type="dxa"/>
          </w:tcPr>
          <w:p w:rsidR="00F16CE9" w:rsidRPr="00F16CE9" w:rsidRDefault="004426CD" w:rsidP="00F16CE9">
            <w:pPr>
              <w:rPr>
                <w:color w:val="000000"/>
              </w:rPr>
            </w:pPr>
            <w:r>
              <w:rPr>
                <w:color w:val="000000"/>
              </w:rPr>
              <w:t>Original Dividend</w:t>
            </w:r>
          </w:p>
        </w:tc>
        <w:tc>
          <w:tcPr>
            <w:tcW w:w="1701" w:type="dxa"/>
          </w:tcPr>
          <w:p w:rsidR="00F16CE9" w:rsidRPr="00F16CE9" w:rsidRDefault="00F16CE9" w:rsidP="00C25AEC">
            <w:pPr>
              <w:jc w:val="right"/>
              <w:rPr>
                <w:color w:val="000000"/>
              </w:rPr>
            </w:pPr>
            <w:r w:rsidRPr="00F16CE9">
              <w:rPr>
                <w:color w:val="000000"/>
              </w:rPr>
              <w:t>2,143</w:t>
            </w:r>
          </w:p>
        </w:tc>
        <w:tc>
          <w:tcPr>
            <w:tcW w:w="1842" w:type="dxa"/>
          </w:tcPr>
          <w:p w:rsidR="00F16CE9" w:rsidRPr="00F16CE9" w:rsidRDefault="00F16CE9" w:rsidP="00C25AEC">
            <w:pPr>
              <w:jc w:val="right"/>
              <w:rPr>
                <w:color w:val="000000"/>
              </w:rPr>
            </w:pPr>
            <w:r w:rsidRPr="00F16CE9">
              <w:rPr>
                <w:color w:val="000000"/>
              </w:rPr>
              <w:t>2,643</w:t>
            </w:r>
          </w:p>
        </w:tc>
        <w:tc>
          <w:tcPr>
            <w:tcW w:w="1843" w:type="dxa"/>
          </w:tcPr>
          <w:p w:rsidR="00F16CE9" w:rsidRPr="00F16CE9" w:rsidRDefault="00F16CE9" w:rsidP="00C25AEC">
            <w:pPr>
              <w:jc w:val="right"/>
              <w:rPr>
                <w:color w:val="000000"/>
              </w:rPr>
            </w:pPr>
            <w:r w:rsidRPr="00F16CE9">
              <w:rPr>
                <w:color w:val="000000"/>
              </w:rPr>
              <w:t>3,109</w:t>
            </w:r>
          </w:p>
        </w:tc>
        <w:tc>
          <w:tcPr>
            <w:tcW w:w="1364" w:type="dxa"/>
          </w:tcPr>
          <w:p w:rsidR="00F16CE9" w:rsidRPr="00F16CE9" w:rsidRDefault="00F16CE9" w:rsidP="00C25AEC">
            <w:pPr>
              <w:jc w:val="right"/>
              <w:rPr>
                <w:color w:val="000000"/>
              </w:rPr>
            </w:pPr>
            <w:r w:rsidRPr="00F16CE9">
              <w:rPr>
                <w:color w:val="000000"/>
              </w:rPr>
              <w:t>3,109</w:t>
            </w:r>
          </w:p>
        </w:tc>
      </w:tr>
      <w:tr w:rsidR="00F16CE9" w:rsidRPr="00F16CE9" w:rsidTr="00F16CE9">
        <w:tc>
          <w:tcPr>
            <w:tcW w:w="2235" w:type="dxa"/>
          </w:tcPr>
          <w:p w:rsidR="00F16CE9" w:rsidRPr="00F16CE9" w:rsidRDefault="00F16CE9" w:rsidP="00F16CE9">
            <w:pPr>
              <w:rPr>
                <w:color w:val="000000"/>
              </w:rPr>
            </w:pPr>
            <w:r w:rsidRPr="00F16CE9">
              <w:rPr>
                <w:color w:val="000000"/>
              </w:rPr>
              <w:t>Revised dividend</w:t>
            </w:r>
          </w:p>
        </w:tc>
        <w:tc>
          <w:tcPr>
            <w:tcW w:w="1701" w:type="dxa"/>
          </w:tcPr>
          <w:p w:rsidR="00F16CE9" w:rsidRPr="00F16CE9" w:rsidRDefault="00F16CE9" w:rsidP="00C25AEC">
            <w:pPr>
              <w:jc w:val="right"/>
              <w:rPr>
                <w:color w:val="000000"/>
              </w:rPr>
            </w:pPr>
          </w:p>
        </w:tc>
        <w:tc>
          <w:tcPr>
            <w:tcW w:w="1842" w:type="dxa"/>
          </w:tcPr>
          <w:p w:rsidR="00F16CE9" w:rsidRPr="00F16CE9" w:rsidRDefault="00F16CE9" w:rsidP="00C25AEC">
            <w:pPr>
              <w:jc w:val="right"/>
              <w:rPr>
                <w:color w:val="000000"/>
              </w:rPr>
            </w:pPr>
          </w:p>
        </w:tc>
        <w:tc>
          <w:tcPr>
            <w:tcW w:w="1843" w:type="dxa"/>
          </w:tcPr>
          <w:p w:rsidR="00F16CE9" w:rsidRPr="00F16CE9" w:rsidRDefault="00F16CE9" w:rsidP="00C25AEC">
            <w:pPr>
              <w:jc w:val="right"/>
              <w:rPr>
                <w:color w:val="000000"/>
              </w:rPr>
            </w:pPr>
          </w:p>
        </w:tc>
        <w:tc>
          <w:tcPr>
            <w:tcW w:w="1364" w:type="dxa"/>
          </w:tcPr>
          <w:p w:rsidR="00F16CE9" w:rsidRPr="00F16CE9" w:rsidRDefault="00F16CE9" w:rsidP="00C25AEC">
            <w:pPr>
              <w:jc w:val="right"/>
              <w:rPr>
                <w:color w:val="000000"/>
              </w:rPr>
            </w:pPr>
          </w:p>
        </w:tc>
      </w:tr>
      <w:tr w:rsidR="00F16CE9" w:rsidRPr="00F16CE9" w:rsidTr="00F16CE9">
        <w:tc>
          <w:tcPr>
            <w:tcW w:w="2235" w:type="dxa"/>
          </w:tcPr>
          <w:p w:rsidR="00F16CE9" w:rsidRPr="00F16CE9" w:rsidRDefault="00F16CE9" w:rsidP="00F16CE9">
            <w:pPr>
              <w:rPr>
                <w:color w:val="000000"/>
              </w:rPr>
            </w:pPr>
            <w:r w:rsidRPr="00F16CE9">
              <w:rPr>
                <w:color w:val="000000"/>
              </w:rPr>
              <w:t>Secured dividend</w:t>
            </w:r>
          </w:p>
        </w:tc>
        <w:tc>
          <w:tcPr>
            <w:tcW w:w="1701" w:type="dxa"/>
          </w:tcPr>
          <w:p w:rsidR="00F16CE9" w:rsidRPr="00F16CE9" w:rsidRDefault="00F16CE9" w:rsidP="00C25AEC">
            <w:pPr>
              <w:jc w:val="right"/>
              <w:rPr>
                <w:color w:val="000000"/>
              </w:rPr>
            </w:pPr>
            <w:r w:rsidRPr="00F16CE9">
              <w:rPr>
                <w:color w:val="000000"/>
              </w:rPr>
              <w:t>1,304</w:t>
            </w:r>
          </w:p>
        </w:tc>
        <w:tc>
          <w:tcPr>
            <w:tcW w:w="1842" w:type="dxa"/>
          </w:tcPr>
          <w:p w:rsidR="00F16CE9" w:rsidRPr="00F16CE9" w:rsidRDefault="00F16CE9" w:rsidP="00C25AEC">
            <w:pPr>
              <w:jc w:val="right"/>
              <w:rPr>
                <w:color w:val="000000"/>
              </w:rPr>
            </w:pPr>
            <w:r w:rsidRPr="00F16CE9">
              <w:rPr>
                <w:color w:val="000000"/>
              </w:rPr>
              <w:t>1,340</w:t>
            </w:r>
          </w:p>
        </w:tc>
        <w:tc>
          <w:tcPr>
            <w:tcW w:w="1843" w:type="dxa"/>
          </w:tcPr>
          <w:p w:rsidR="00F16CE9" w:rsidRPr="00F16CE9" w:rsidRDefault="00F16CE9" w:rsidP="00C25AEC">
            <w:pPr>
              <w:jc w:val="right"/>
              <w:rPr>
                <w:color w:val="000000"/>
              </w:rPr>
            </w:pPr>
            <w:r w:rsidRPr="00F16CE9">
              <w:rPr>
                <w:color w:val="000000"/>
              </w:rPr>
              <w:t>1,666</w:t>
            </w:r>
          </w:p>
        </w:tc>
        <w:tc>
          <w:tcPr>
            <w:tcW w:w="1364" w:type="dxa"/>
          </w:tcPr>
          <w:p w:rsidR="00F16CE9" w:rsidRPr="00F16CE9" w:rsidRDefault="00F16CE9" w:rsidP="00C25AEC">
            <w:pPr>
              <w:jc w:val="right"/>
              <w:rPr>
                <w:color w:val="000000"/>
              </w:rPr>
            </w:pPr>
            <w:r w:rsidRPr="00F16CE9">
              <w:rPr>
                <w:color w:val="000000"/>
              </w:rPr>
              <w:t>1,955</w:t>
            </w:r>
          </w:p>
        </w:tc>
      </w:tr>
      <w:tr w:rsidR="00F16CE9" w:rsidRPr="00F16CE9" w:rsidTr="00F16CE9">
        <w:tc>
          <w:tcPr>
            <w:tcW w:w="2235" w:type="dxa"/>
          </w:tcPr>
          <w:p w:rsidR="00F16CE9" w:rsidRPr="00F16CE9" w:rsidRDefault="0005470D" w:rsidP="00F16CE9">
            <w:pPr>
              <w:rPr>
                <w:color w:val="000000"/>
              </w:rPr>
            </w:pPr>
            <w:r>
              <w:rPr>
                <w:color w:val="000000"/>
              </w:rPr>
              <w:t>Conditional</w:t>
            </w:r>
            <w:r w:rsidR="00F16CE9" w:rsidRPr="00F16CE9">
              <w:rPr>
                <w:color w:val="000000"/>
              </w:rPr>
              <w:t xml:space="preserve"> dividend</w:t>
            </w:r>
          </w:p>
        </w:tc>
        <w:tc>
          <w:tcPr>
            <w:tcW w:w="1701" w:type="dxa"/>
          </w:tcPr>
          <w:p w:rsidR="00F16CE9" w:rsidRPr="00F16CE9" w:rsidRDefault="00F16CE9" w:rsidP="00C25AEC">
            <w:pPr>
              <w:jc w:val="right"/>
              <w:rPr>
                <w:color w:val="000000"/>
              </w:rPr>
            </w:pPr>
            <w:r w:rsidRPr="00F16CE9">
              <w:rPr>
                <w:color w:val="000000"/>
              </w:rPr>
              <w:t>222</w:t>
            </w:r>
          </w:p>
        </w:tc>
        <w:tc>
          <w:tcPr>
            <w:tcW w:w="1842" w:type="dxa"/>
          </w:tcPr>
          <w:p w:rsidR="00F16CE9" w:rsidRPr="00F16CE9" w:rsidRDefault="00F16CE9" w:rsidP="00C25AEC">
            <w:pPr>
              <w:jc w:val="right"/>
              <w:rPr>
                <w:color w:val="000000"/>
              </w:rPr>
            </w:pPr>
            <w:r w:rsidRPr="00F16CE9">
              <w:rPr>
                <w:color w:val="000000"/>
              </w:rPr>
              <w:t>1,074</w:t>
            </w:r>
          </w:p>
        </w:tc>
        <w:tc>
          <w:tcPr>
            <w:tcW w:w="1843" w:type="dxa"/>
          </w:tcPr>
          <w:p w:rsidR="00F16CE9" w:rsidRPr="00F16CE9" w:rsidRDefault="00F16CE9" w:rsidP="00C25AEC">
            <w:pPr>
              <w:jc w:val="right"/>
              <w:rPr>
                <w:color w:val="000000"/>
              </w:rPr>
            </w:pPr>
            <w:r w:rsidRPr="00F16CE9">
              <w:rPr>
                <w:color w:val="000000"/>
              </w:rPr>
              <w:t>1,752</w:t>
            </w:r>
          </w:p>
        </w:tc>
        <w:tc>
          <w:tcPr>
            <w:tcW w:w="1364" w:type="dxa"/>
          </w:tcPr>
          <w:p w:rsidR="00F16CE9" w:rsidRPr="00F16CE9" w:rsidRDefault="00F16CE9" w:rsidP="00C25AEC">
            <w:pPr>
              <w:jc w:val="right"/>
              <w:rPr>
                <w:color w:val="000000"/>
              </w:rPr>
            </w:pPr>
            <w:r w:rsidRPr="00F16CE9">
              <w:rPr>
                <w:color w:val="000000"/>
              </w:rPr>
              <w:t>2,592</w:t>
            </w:r>
          </w:p>
        </w:tc>
      </w:tr>
      <w:tr w:rsidR="00F16CE9" w:rsidRPr="00F16CE9" w:rsidTr="00F16CE9">
        <w:tc>
          <w:tcPr>
            <w:tcW w:w="2235" w:type="dxa"/>
          </w:tcPr>
          <w:p w:rsidR="00F16CE9" w:rsidRPr="00F16CE9" w:rsidRDefault="00F16CE9" w:rsidP="00F16CE9">
            <w:pPr>
              <w:rPr>
                <w:color w:val="000000"/>
              </w:rPr>
            </w:pPr>
          </w:p>
        </w:tc>
        <w:tc>
          <w:tcPr>
            <w:tcW w:w="1701" w:type="dxa"/>
          </w:tcPr>
          <w:p w:rsidR="00F16CE9" w:rsidRPr="00F16CE9" w:rsidRDefault="00F16CE9" w:rsidP="00C25AEC">
            <w:pPr>
              <w:jc w:val="right"/>
              <w:rPr>
                <w:b/>
                <w:color w:val="000000"/>
              </w:rPr>
            </w:pPr>
          </w:p>
        </w:tc>
        <w:tc>
          <w:tcPr>
            <w:tcW w:w="1842" w:type="dxa"/>
          </w:tcPr>
          <w:p w:rsidR="00F16CE9" w:rsidRPr="00F16CE9" w:rsidRDefault="00F16CE9" w:rsidP="00C25AEC">
            <w:pPr>
              <w:jc w:val="right"/>
              <w:rPr>
                <w:b/>
                <w:color w:val="000000"/>
              </w:rPr>
            </w:pPr>
          </w:p>
        </w:tc>
        <w:tc>
          <w:tcPr>
            <w:tcW w:w="1843" w:type="dxa"/>
          </w:tcPr>
          <w:p w:rsidR="00F16CE9" w:rsidRPr="00F16CE9" w:rsidRDefault="00F16CE9" w:rsidP="00C25AEC">
            <w:pPr>
              <w:jc w:val="right"/>
              <w:rPr>
                <w:b/>
                <w:color w:val="000000"/>
              </w:rPr>
            </w:pPr>
          </w:p>
        </w:tc>
        <w:tc>
          <w:tcPr>
            <w:tcW w:w="1364" w:type="dxa"/>
          </w:tcPr>
          <w:p w:rsidR="00F16CE9" w:rsidRPr="00F16CE9" w:rsidRDefault="00F16CE9" w:rsidP="00C25AEC">
            <w:pPr>
              <w:jc w:val="right"/>
              <w:rPr>
                <w:b/>
                <w:color w:val="000000"/>
              </w:rPr>
            </w:pPr>
          </w:p>
        </w:tc>
      </w:tr>
      <w:tr w:rsidR="00F16CE9" w:rsidRPr="00000222" w:rsidTr="00F16CE9">
        <w:tc>
          <w:tcPr>
            <w:tcW w:w="2235" w:type="dxa"/>
          </w:tcPr>
          <w:p w:rsidR="00F16CE9" w:rsidRPr="00F16CE9" w:rsidRDefault="00F16CE9" w:rsidP="00F16CE9">
            <w:pPr>
              <w:rPr>
                <w:b/>
                <w:color w:val="000000"/>
              </w:rPr>
            </w:pPr>
            <w:r w:rsidRPr="00F16CE9">
              <w:rPr>
                <w:b/>
                <w:color w:val="000000"/>
              </w:rPr>
              <w:t>T</w:t>
            </w:r>
            <w:r w:rsidR="0005470D">
              <w:rPr>
                <w:b/>
                <w:color w:val="000000"/>
              </w:rPr>
              <w:t xml:space="preserve">otal </w:t>
            </w:r>
          </w:p>
        </w:tc>
        <w:tc>
          <w:tcPr>
            <w:tcW w:w="1701" w:type="dxa"/>
          </w:tcPr>
          <w:p w:rsidR="00F16CE9" w:rsidRPr="00F16CE9" w:rsidRDefault="00F16CE9" w:rsidP="00C25AEC">
            <w:pPr>
              <w:jc w:val="right"/>
              <w:rPr>
                <w:b/>
                <w:color w:val="000000"/>
              </w:rPr>
            </w:pPr>
            <w:r w:rsidRPr="00F16CE9">
              <w:rPr>
                <w:b/>
                <w:color w:val="000000"/>
              </w:rPr>
              <w:t>1,526</w:t>
            </w:r>
          </w:p>
        </w:tc>
        <w:tc>
          <w:tcPr>
            <w:tcW w:w="1842" w:type="dxa"/>
          </w:tcPr>
          <w:p w:rsidR="00F16CE9" w:rsidRPr="00F16CE9" w:rsidRDefault="00F16CE9" w:rsidP="00C25AEC">
            <w:pPr>
              <w:jc w:val="right"/>
              <w:rPr>
                <w:b/>
                <w:color w:val="000000"/>
              </w:rPr>
            </w:pPr>
            <w:r w:rsidRPr="00F16CE9">
              <w:rPr>
                <w:b/>
                <w:color w:val="000000"/>
              </w:rPr>
              <w:t>2,414</w:t>
            </w:r>
          </w:p>
        </w:tc>
        <w:tc>
          <w:tcPr>
            <w:tcW w:w="1843" w:type="dxa"/>
          </w:tcPr>
          <w:p w:rsidR="00F16CE9" w:rsidRPr="00F16CE9" w:rsidRDefault="00F16CE9" w:rsidP="00C25AEC">
            <w:pPr>
              <w:jc w:val="right"/>
              <w:rPr>
                <w:b/>
                <w:color w:val="000000"/>
              </w:rPr>
            </w:pPr>
            <w:r w:rsidRPr="00F16CE9">
              <w:rPr>
                <w:b/>
                <w:color w:val="000000"/>
              </w:rPr>
              <w:t>3,418</w:t>
            </w:r>
          </w:p>
        </w:tc>
        <w:tc>
          <w:tcPr>
            <w:tcW w:w="1364" w:type="dxa"/>
          </w:tcPr>
          <w:p w:rsidR="00F16CE9" w:rsidRPr="00F16CE9" w:rsidRDefault="00F16CE9" w:rsidP="00C25AEC">
            <w:pPr>
              <w:jc w:val="right"/>
              <w:rPr>
                <w:b/>
                <w:color w:val="000000"/>
              </w:rPr>
            </w:pPr>
            <w:r w:rsidRPr="00F16CE9">
              <w:rPr>
                <w:b/>
                <w:color w:val="000000"/>
              </w:rPr>
              <w:t>4,547</w:t>
            </w:r>
          </w:p>
        </w:tc>
      </w:tr>
    </w:tbl>
    <w:p w:rsidR="00447C29" w:rsidRPr="0005470D" w:rsidRDefault="00447C29" w:rsidP="00447C29">
      <w:pPr>
        <w:spacing w:after="200" w:line="276" w:lineRule="auto"/>
        <w:ind w:left="720" w:hanging="720"/>
        <w:contextualSpacing/>
      </w:pPr>
    </w:p>
    <w:p w:rsidR="00447C29" w:rsidRPr="00C02E4C" w:rsidRDefault="0005470D" w:rsidP="007E34DD">
      <w:pPr>
        <w:pStyle w:val="ListParagraph"/>
        <w:numPr>
          <w:ilvl w:val="0"/>
          <w:numId w:val="54"/>
        </w:numPr>
        <w:spacing w:after="200" w:line="276" w:lineRule="auto"/>
        <w:ind w:left="709" w:hanging="709"/>
        <w:contextualSpacing/>
        <w:rPr>
          <w:b/>
          <w:szCs w:val="22"/>
        </w:rPr>
      </w:pPr>
      <w:r w:rsidRPr="0005470D">
        <w:t>The secured dividends are conditional on the company receiving work from the Council at the same level as those currently</w:t>
      </w:r>
      <w:r w:rsidR="00A441F6">
        <w:t xml:space="preserve"> received</w:t>
      </w:r>
      <w:r w:rsidRPr="0005470D">
        <w:t xml:space="preserve">, together with investment in the construction of a single depot. The conditional dividend is </w:t>
      </w:r>
      <w:r w:rsidR="000833D1" w:rsidRPr="0005470D">
        <w:t>dependent</w:t>
      </w:r>
      <w:r w:rsidRPr="0005470D">
        <w:t xml:space="preserve"> on addi</w:t>
      </w:r>
      <w:r w:rsidR="00D93703">
        <w:t>tion</w:t>
      </w:r>
      <w:r w:rsidR="00A441F6">
        <w:t>al work from the C</w:t>
      </w:r>
      <w:r w:rsidRPr="0005470D">
        <w:t>ouncil of around £15million by 2024-25, increased income earned from external trading of around £12</w:t>
      </w:r>
      <w:r w:rsidR="00A441F6">
        <w:t xml:space="preserve"> </w:t>
      </w:r>
      <w:r>
        <w:t>m</w:t>
      </w:r>
      <w:r w:rsidRPr="0005470D">
        <w:t xml:space="preserve">illion </w:t>
      </w:r>
      <w:r>
        <w:t xml:space="preserve">over the same period </w:t>
      </w:r>
      <w:r w:rsidRPr="0005470D">
        <w:t xml:space="preserve">and efficiency savings from direct costs and overheads. </w:t>
      </w:r>
    </w:p>
    <w:p w:rsidR="00214432" w:rsidRPr="00395ED9" w:rsidRDefault="00214432" w:rsidP="00DA542F">
      <w:pPr>
        <w:pStyle w:val="Default"/>
        <w:ind w:right="386"/>
        <w:jc w:val="both"/>
        <w:rPr>
          <w:b/>
        </w:rPr>
      </w:pPr>
      <w:r w:rsidRPr="00395ED9">
        <w:rPr>
          <w:b/>
        </w:rPr>
        <w:t>Housing Company</w:t>
      </w:r>
      <w:r w:rsidR="00F8251E" w:rsidRPr="00395ED9">
        <w:rPr>
          <w:b/>
        </w:rPr>
        <w:t>- Oxford City Housing Ltd.</w:t>
      </w:r>
    </w:p>
    <w:p w:rsidR="00214432" w:rsidRPr="00395ED9" w:rsidRDefault="00214432" w:rsidP="00DA542F">
      <w:pPr>
        <w:pStyle w:val="Default"/>
        <w:ind w:right="386" w:hanging="720"/>
        <w:jc w:val="both"/>
      </w:pPr>
    </w:p>
    <w:p w:rsidR="00214432" w:rsidRPr="00395ED9" w:rsidRDefault="00214432" w:rsidP="007E34DD">
      <w:pPr>
        <w:pStyle w:val="Default"/>
        <w:numPr>
          <w:ilvl w:val="0"/>
          <w:numId w:val="54"/>
        </w:numPr>
        <w:ind w:left="709" w:right="386" w:hanging="709"/>
      </w:pPr>
      <w:r w:rsidRPr="00395ED9">
        <w:t xml:space="preserve">In March 2016 the Council approved the establishment of a </w:t>
      </w:r>
      <w:r w:rsidR="001B13BD" w:rsidRPr="00395ED9">
        <w:t xml:space="preserve">wholly owned </w:t>
      </w:r>
      <w:r w:rsidRPr="00395ED9">
        <w:t xml:space="preserve">Local Authority housing company that </w:t>
      </w:r>
      <w:r w:rsidR="001B13BD" w:rsidRPr="00395ED9">
        <w:t>was incorporated in June 2016, Oxford City Housing Limited.</w:t>
      </w:r>
    </w:p>
    <w:p w:rsidR="00214432" w:rsidRPr="00395ED9" w:rsidRDefault="00214432" w:rsidP="000D47C6">
      <w:pPr>
        <w:pStyle w:val="Default"/>
        <w:ind w:left="709" w:right="386" w:hanging="709"/>
      </w:pPr>
    </w:p>
    <w:p w:rsidR="00D05519" w:rsidRPr="00D05519" w:rsidRDefault="00CF04D8" w:rsidP="007E34DD">
      <w:pPr>
        <w:pStyle w:val="Default"/>
        <w:numPr>
          <w:ilvl w:val="0"/>
          <w:numId w:val="54"/>
        </w:numPr>
        <w:ind w:left="709" w:hanging="709"/>
      </w:pPr>
      <w:r>
        <w:t>In December 2020 t</w:t>
      </w:r>
      <w:r w:rsidR="00214432" w:rsidRPr="00395ED9">
        <w:t xml:space="preserve">he OCHL Shareholder </w:t>
      </w:r>
      <w:r>
        <w:t>will consider an update to the Housing Company Business Plan previously approved. The updated plan will</w:t>
      </w:r>
      <w:r w:rsidR="00B24750">
        <w:t xml:space="preserve"> provide for the delivery of 1,891 dwellings over the next 10 year period with 1,</w:t>
      </w:r>
      <w:r w:rsidR="00201100">
        <w:t>119</w:t>
      </w:r>
      <w:r w:rsidR="00B24750">
        <w:t xml:space="preserve"> being acquired by the Councils Housing Revenue Account and the remainder being sold on the open market. In addition to this the company will acquire </w:t>
      </w:r>
      <w:r w:rsidR="00D05519">
        <w:t>354 social dwellings b</w:t>
      </w:r>
      <w:r w:rsidR="00214432" w:rsidRPr="00395ED9">
        <w:t>eing developed at Barton Park by Barton Oxford LLP (BOLLP)</w:t>
      </w:r>
      <w:r w:rsidR="00B24750">
        <w:t>, a Limited Liability Partnership between Grosvenor Homes and Oxford City Council</w:t>
      </w:r>
      <w:r w:rsidR="00D05519">
        <w:t xml:space="preserve">. Phase 1 of the development at Barton </w:t>
      </w:r>
      <w:r w:rsidR="000833D1">
        <w:t>has</w:t>
      </w:r>
      <w:r w:rsidR="00D05519">
        <w:t xml:space="preserve"> already been completed and the Company has already </w:t>
      </w:r>
      <w:r w:rsidR="00D05519" w:rsidRPr="00D05519">
        <w:t xml:space="preserve">acquired 95 of these dwellings. </w:t>
      </w:r>
      <w:r w:rsidR="00B24750" w:rsidRPr="00D05519">
        <w:t xml:space="preserve"> </w:t>
      </w:r>
    </w:p>
    <w:p w:rsidR="00D05519" w:rsidRPr="00D05519" w:rsidRDefault="00D05519" w:rsidP="000D47C6">
      <w:pPr>
        <w:pStyle w:val="ListParagraph"/>
        <w:ind w:left="709" w:hanging="709"/>
      </w:pPr>
    </w:p>
    <w:p w:rsidR="00867E73" w:rsidRPr="00D05519" w:rsidRDefault="00867E73" w:rsidP="007E34DD">
      <w:pPr>
        <w:pStyle w:val="Default"/>
        <w:numPr>
          <w:ilvl w:val="0"/>
          <w:numId w:val="54"/>
        </w:numPr>
        <w:ind w:left="709" w:hanging="709"/>
      </w:pPr>
      <w:r w:rsidRPr="00D05519">
        <w:t xml:space="preserve">In return for loans advanced to it from the Councils General Fund </w:t>
      </w:r>
      <w:r w:rsidR="004563E6">
        <w:t xml:space="preserve">to fund development </w:t>
      </w:r>
      <w:r w:rsidRPr="00D05519">
        <w:t xml:space="preserve">the company pays a state aid compliant loan rate based on </w:t>
      </w:r>
      <w:r w:rsidR="00A441F6">
        <w:t xml:space="preserve">the </w:t>
      </w:r>
      <w:r w:rsidR="00D05519" w:rsidRPr="00D05519">
        <w:t>40 year</w:t>
      </w:r>
      <w:r w:rsidRPr="00D05519">
        <w:t xml:space="preserve"> PWLB </w:t>
      </w:r>
      <w:r w:rsidR="00A441F6">
        <w:t xml:space="preserve">rate </w:t>
      </w:r>
      <w:r w:rsidR="007D6BC8" w:rsidRPr="00FB5B6D">
        <w:t>inclusive of a 2.2% margin. As at 31</w:t>
      </w:r>
      <w:r w:rsidR="00A441F6">
        <w:t xml:space="preserve"> March </w:t>
      </w:r>
      <w:r w:rsidR="007D6BC8" w:rsidRPr="00FB5B6D">
        <w:t xml:space="preserve">2020 </w:t>
      </w:r>
      <w:r w:rsidR="00FB5B6D" w:rsidRPr="00FB5B6D">
        <w:t xml:space="preserve">outstanding loans from the Council </w:t>
      </w:r>
      <w:r w:rsidR="00A441F6">
        <w:t xml:space="preserve">to OCHL </w:t>
      </w:r>
      <w:r w:rsidR="000833D1" w:rsidRPr="00ED69C8">
        <w:t>totaled</w:t>
      </w:r>
      <w:r w:rsidR="00FB5B6D" w:rsidRPr="00ED69C8">
        <w:t xml:space="preserve"> £13.3 million</w:t>
      </w:r>
      <w:r w:rsidR="00811E2D" w:rsidRPr="00ED69C8">
        <w:t xml:space="preserve"> and accrued interest </w:t>
      </w:r>
      <w:r w:rsidR="00ED69C8" w:rsidRPr="00ED69C8">
        <w:t>payable on maturity of the loan and yet t</w:t>
      </w:r>
      <w:r w:rsidR="00811E2D" w:rsidRPr="00ED69C8">
        <w:t>o be paid totaled £</w:t>
      </w:r>
      <w:r w:rsidR="00ED69C8" w:rsidRPr="00ED69C8">
        <w:t>962k</w:t>
      </w:r>
      <w:r w:rsidR="00FB5B6D" w:rsidRPr="00ED69C8">
        <w:t>.</w:t>
      </w:r>
      <w:r w:rsidR="00D05519" w:rsidRPr="00ED69C8">
        <w:t xml:space="preserve"> In addition</w:t>
      </w:r>
      <w:r w:rsidR="00D05519" w:rsidRPr="00D05519">
        <w:t xml:space="preserve"> it is expected that the Company will make dividend payments to the Council from surpluses as they arise although the </w:t>
      </w:r>
      <w:r w:rsidR="00A441F6">
        <w:t xml:space="preserve">proposed </w:t>
      </w:r>
      <w:r w:rsidR="00D05519" w:rsidRPr="00D05519">
        <w:t xml:space="preserve">Company Business Plan </w:t>
      </w:r>
      <w:r w:rsidR="00A441F6">
        <w:t xml:space="preserve">projection </w:t>
      </w:r>
      <w:r w:rsidR="00D05519" w:rsidRPr="00D05519">
        <w:t xml:space="preserve">indicate that this </w:t>
      </w:r>
      <w:r w:rsidR="00A441F6">
        <w:t xml:space="preserve">is </w:t>
      </w:r>
      <w:r w:rsidR="00D05519" w:rsidRPr="00D05519">
        <w:t>unlikely until 2025-26 at the earliest</w:t>
      </w:r>
      <w:r w:rsidR="00D05519">
        <w:t>.</w:t>
      </w:r>
    </w:p>
    <w:p w:rsidR="00867E73" w:rsidRDefault="00867E73" w:rsidP="00867E73">
      <w:pPr>
        <w:pStyle w:val="ListParagraph"/>
      </w:pPr>
    </w:p>
    <w:p w:rsidR="00867E73" w:rsidRPr="00395ED9" w:rsidRDefault="007D6BC8" w:rsidP="007E34DD">
      <w:pPr>
        <w:pStyle w:val="Default"/>
        <w:numPr>
          <w:ilvl w:val="0"/>
          <w:numId w:val="54"/>
        </w:numPr>
        <w:ind w:left="709" w:hanging="709"/>
      </w:pPr>
      <w:r>
        <w:lastRenderedPageBreak/>
        <w:t>I</w:t>
      </w:r>
      <w:r w:rsidR="00867E73">
        <w:t xml:space="preserve">n </w:t>
      </w:r>
      <w:r w:rsidR="00D05519">
        <w:t>2018 following the removal of the debt cap imposed by the Government for the HRA the Council took a decision for its HRA to buy social housing developed by the Company using its new ability to borrow.</w:t>
      </w:r>
      <w:r w:rsidR="00867E73">
        <w:t xml:space="preserve"> </w:t>
      </w:r>
    </w:p>
    <w:p w:rsidR="00395ED9" w:rsidRDefault="00395ED9" w:rsidP="00395ED9">
      <w:pPr>
        <w:pStyle w:val="ListParagraph"/>
        <w:rPr>
          <w:highlight w:val="yellow"/>
        </w:rPr>
      </w:pPr>
    </w:p>
    <w:p w:rsidR="00B563E1" w:rsidRPr="004563E6" w:rsidRDefault="007E34DD" w:rsidP="00867E73">
      <w:pPr>
        <w:pStyle w:val="Default"/>
        <w:ind w:left="709" w:hanging="709"/>
      </w:pPr>
      <w:r>
        <w:t>68</w:t>
      </w:r>
      <w:r w:rsidR="00867E73" w:rsidRPr="004563E6">
        <w:tab/>
      </w:r>
      <w:r w:rsidR="00B563E1" w:rsidRPr="004563E6">
        <w:t xml:space="preserve">The revised business plan </w:t>
      </w:r>
      <w:r w:rsidR="004563E6" w:rsidRPr="004563E6">
        <w:t xml:space="preserve">which will come forward to shareholders in December 2020 will introduce changes to the financing of the company business plan which will de-risk the Companies development </w:t>
      </w:r>
      <w:proofErr w:type="spellStart"/>
      <w:r w:rsidR="004563E6" w:rsidRPr="004563E6">
        <w:t>programme</w:t>
      </w:r>
      <w:proofErr w:type="spellEnd"/>
      <w:r w:rsidR="004563E6" w:rsidRPr="004563E6">
        <w:t xml:space="preserve"> increase the financial </w:t>
      </w:r>
      <w:r w:rsidR="000833D1" w:rsidRPr="004563E6">
        <w:t>resilience</w:t>
      </w:r>
      <w:r w:rsidR="004563E6" w:rsidRPr="004563E6">
        <w:t xml:space="preserve"> of the company as well as provide increased financial returns to the Council which are both greater than previously budgeted and sooner. Such changes will arise </w:t>
      </w:r>
      <w:r w:rsidR="000833D1" w:rsidRPr="004563E6">
        <w:t>from:</w:t>
      </w:r>
      <w:r w:rsidR="00B563E1" w:rsidRPr="004563E6">
        <w:t xml:space="preserve"> </w:t>
      </w:r>
    </w:p>
    <w:p w:rsidR="00B563E1" w:rsidRPr="004563E6" w:rsidRDefault="00B563E1" w:rsidP="00867E73">
      <w:pPr>
        <w:pStyle w:val="Default"/>
        <w:ind w:left="709" w:hanging="709"/>
      </w:pPr>
    </w:p>
    <w:p w:rsidR="004563E6" w:rsidRDefault="004563E6" w:rsidP="00B563E1">
      <w:pPr>
        <w:pStyle w:val="Default"/>
        <w:numPr>
          <w:ilvl w:val="0"/>
          <w:numId w:val="3"/>
        </w:numPr>
      </w:pPr>
      <w:r w:rsidRPr="004563E6">
        <w:rPr>
          <w:b/>
        </w:rPr>
        <w:t>Loan Margin</w:t>
      </w:r>
      <w:r>
        <w:t xml:space="preserve"> - </w:t>
      </w:r>
      <w:r w:rsidR="00B563E1" w:rsidRPr="004563E6">
        <w:t>An increase in the loan margin charged to the Company by Oxford City Council from 2.2% to 3.2%</w:t>
      </w:r>
      <w:r w:rsidRPr="004563E6">
        <w:t>. In assessing the impact of COVID 19 on the company financial position the Council deem</w:t>
      </w:r>
      <w:r w:rsidR="00A441F6">
        <w:t>s</w:t>
      </w:r>
      <w:r w:rsidRPr="004563E6">
        <w:t xml:space="preserve"> it appropriate to increase the margin on the money lent to the company from 2.2% to 3.2%. This rate will be kept under review and altered as an when circumstances arise </w:t>
      </w:r>
    </w:p>
    <w:p w:rsidR="004563E6" w:rsidRDefault="004563E6" w:rsidP="004563E6">
      <w:pPr>
        <w:pStyle w:val="Default"/>
      </w:pPr>
    </w:p>
    <w:p w:rsidR="00AD3059" w:rsidRDefault="004563E6" w:rsidP="00D642B4">
      <w:pPr>
        <w:pStyle w:val="Default"/>
        <w:numPr>
          <w:ilvl w:val="0"/>
          <w:numId w:val="3"/>
        </w:numPr>
        <w:rPr>
          <w:sz w:val="23"/>
          <w:szCs w:val="23"/>
        </w:rPr>
      </w:pPr>
      <w:r w:rsidRPr="004563E6">
        <w:rPr>
          <w:b/>
          <w:sz w:val="23"/>
          <w:szCs w:val="23"/>
        </w:rPr>
        <w:t>Stage Payments from the HRA</w:t>
      </w:r>
      <w:r w:rsidRPr="004563E6">
        <w:rPr>
          <w:sz w:val="23"/>
          <w:szCs w:val="23"/>
        </w:rPr>
        <w:t xml:space="preserve"> -Currently the OCHL development </w:t>
      </w:r>
      <w:proofErr w:type="spellStart"/>
      <w:r w:rsidRPr="004563E6">
        <w:rPr>
          <w:sz w:val="23"/>
          <w:szCs w:val="23"/>
        </w:rPr>
        <w:t>programme</w:t>
      </w:r>
      <w:proofErr w:type="spellEnd"/>
      <w:r w:rsidRPr="004563E6">
        <w:rPr>
          <w:sz w:val="23"/>
          <w:szCs w:val="23"/>
        </w:rPr>
        <w:t xml:space="preserve"> Development Scheme Appraisal (DSA) modelling for individual schemes takes a very prudent approach, namely most if not all development receipts from private sales and the HRA are profiled not to occur until the end of each scheme, namely when dwellings are effectively completed. </w:t>
      </w:r>
      <w:r w:rsidR="00EE64F0">
        <w:rPr>
          <w:sz w:val="23"/>
          <w:szCs w:val="23"/>
        </w:rPr>
        <w:t xml:space="preserve">However, custom and </w:t>
      </w:r>
      <w:r w:rsidR="00EE64F0" w:rsidRPr="00EE64F0">
        <w:rPr>
          <w:sz w:val="23"/>
          <w:szCs w:val="23"/>
        </w:rPr>
        <w:t>practice across the for instance in relation to contracts between Registered Providers and Developers allows for the making of</w:t>
      </w:r>
      <w:r w:rsidRPr="00EE64F0">
        <w:rPr>
          <w:sz w:val="23"/>
          <w:szCs w:val="23"/>
        </w:rPr>
        <w:t xml:space="preserve"> stage payments at different and progressive periods of </w:t>
      </w:r>
      <w:r w:rsidR="00EE64F0" w:rsidRPr="00EE64F0">
        <w:rPr>
          <w:sz w:val="23"/>
          <w:szCs w:val="23"/>
        </w:rPr>
        <w:t xml:space="preserve">the </w:t>
      </w:r>
      <w:r w:rsidRPr="00EE64F0">
        <w:rPr>
          <w:sz w:val="23"/>
          <w:szCs w:val="23"/>
        </w:rPr>
        <w:t>development</w:t>
      </w:r>
      <w:r w:rsidR="00EE64F0" w:rsidRPr="00EE64F0">
        <w:rPr>
          <w:sz w:val="23"/>
          <w:szCs w:val="23"/>
        </w:rPr>
        <w:t xml:space="preserve">. This assists the developer </w:t>
      </w:r>
      <w:r w:rsidRPr="00EE64F0">
        <w:rPr>
          <w:sz w:val="23"/>
          <w:szCs w:val="23"/>
        </w:rPr>
        <w:t xml:space="preserve">with cash flows </w:t>
      </w:r>
      <w:r w:rsidR="00EE64F0" w:rsidRPr="00EE64F0">
        <w:rPr>
          <w:sz w:val="23"/>
          <w:szCs w:val="23"/>
        </w:rPr>
        <w:t>thereby reducing the overall risk of the development</w:t>
      </w:r>
      <w:r w:rsidR="00AD3059" w:rsidRPr="00EE64F0">
        <w:rPr>
          <w:sz w:val="23"/>
          <w:szCs w:val="23"/>
        </w:rPr>
        <w:t xml:space="preserve">. </w:t>
      </w:r>
      <w:r w:rsidR="00776878" w:rsidRPr="00EE64F0">
        <w:rPr>
          <w:sz w:val="23"/>
          <w:szCs w:val="23"/>
        </w:rPr>
        <w:t xml:space="preserve">Within the company business plan provision has been made for such stage payments from the HRA on several housing development schemes that are currently not on site. This </w:t>
      </w:r>
      <w:r w:rsidR="00AD3059" w:rsidRPr="00EE64F0">
        <w:rPr>
          <w:sz w:val="23"/>
          <w:szCs w:val="23"/>
        </w:rPr>
        <w:t>is</w:t>
      </w:r>
      <w:r w:rsidR="00AD3059">
        <w:rPr>
          <w:sz w:val="23"/>
          <w:szCs w:val="23"/>
        </w:rPr>
        <w:t xml:space="preserve"> beneficial from </w:t>
      </w:r>
      <w:r w:rsidR="00EE64F0">
        <w:rPr>
          <w:sz w:val="23"/>
          <w:szCs w:val="23"/>
        </w:rPr>
        <w:t>OCHL</w:t>
      </w:r>
      <w:r w:rsidR="00AD3059">
        <w:rPr>
          <w:sz w:val="23"/>
          <w:szCs w:val="23"/>
        </w:rPr>
        <w:t xml:space="preserve"> perspective since it reduces the amount of borrowing undertaken from the Council, reduces interest payments and increases the profitability of such schemes. Although in the early years </w:t>
      </w:r>
      <w:r w:rsidR="00EE64F0">
        <w:rPr>
          <w:sz w:val="23"/>
          <w:szCs w:val="23"/>
        </w:rPr>
        <w:t>OCHL</w:t>
      </w:r>
      <w:r w:rsidR="00AD3059">
        <w:rPr>
          <w:sz w:val="23"/>
          <w:szCs w:val="23"/>
        </w:rPr>
        <w:t xml:space="preserve"> would take </w:t>
      </w:r>
      <w:r w:rsidR="00076FD9">
        <w:rPr>
          <w:sz w:val="23"/>
          <w:szCs w:val="23"/>
        </w:rPr>
        <w:t>fewer</w:t>
      </w:r>
      <w:r w:rsidR="00AD3059">
        <w:rPr>
          <w:sz w:val="23"/>
          <w:szCs w:val="23"/>
        </w:rPr>
        <w:t xml:space="preserve"> loans and pay less interest margin to the Council</w:t>
      </w:r>
      <w:r w:rsidR="00EE64F0">
        <w:rPr>
          <w:sz w:val="23"/>
          <w:szCs w:val="23"/>
        </w:rPr>
        <w:t>,</w:t>
      </w:r>
      <w:r w:rsidR="00AD3059">
        <w:rPr>
          <w:sz w:val="23"/>
          <w:szCs w:val="23"/>
        </w:rPr>
        <w:t xml:space="preserve"> it has the added advantage from the Councils Group position of </w:t>
      </w:r>
      <w:r w:rsidR="00776878">
        <w:rPr>
          <w:sz w:val="23"/>
          <w:szCs w:val="23"/>
        </w:rPr>
        <w:t>:</w:t>
      </w:r>
    </w:p>
    <w:p w:rsidR="00AD3059" w:rsidRDefault="00AD3059" w:rsidP="00AD3059">
      <w:pPr>
        <w:pStyle w:val="ListParagraph"/>
        <w:rPr>
          <w:sz w:val="23"/>
          <w:szCs w:val="23"/>
        </w:rPr>
      </w:pPr>
    </w:p>
    <w:p w:rsidR="00FB5B6D" w:rsidRDefault="00FB5B6D" w:rsidP="00AD3059">
      <w:pPr>
        <w:pStyle w:val="Default"/>
        <w:numPr>
          <w:ilvl w:val="1"/>
          <w:numId w:val="3"/>
        </w:numPr>
        <w:rPr>
          <w:sz w:val="23"/>
          <w:szCs w:val="23"/>
        </w:rPr>
      </w:pPr>
      <w:r>
        <w:rPr>
          <w:sz w:val="23"/>
          <w:szCs w:val="23"/>
        </w:rPr>
        <w:t>Increasing the profitability of individual development schemes with the Housing Company</w:t>
      </w:r>
    </w:p>
    <w:p w:rsidR="004563E6" w:rsidRDefault="00AD3059" w:rsidP="00AD3059">
      <w:pPr>
        <w:pStyle w:val="Default"/>
        <w:numPr>
          <w:ilvl w:val="1"/>
          <w:numId w:val="3"/>
        </w:numPr>
        <w:rPr>
          <w:sz w:val="23"/>
          <w:szCs w:val="23"/>
        </w:rPr>
      </w:pPr>
      <w:r>
        <w:rPr>
          <w:sz w:val="23"/>
          <w:szCs w:val="23"/>
        </w:rPr>
        <w:t>lowering overall borrowing costs since the Government introduced a preferential rate for HRA borrowing to fund affordable housing of PWLB less 1%</w:t>
      </w:r>
    </w:p>
    <w:p w:rsidR="00AD3059" w:rsidRPr="0045662E" w:rsidRDefault="00AD3059" w:rsidP="00AD3059">
      <w:pPr>
        <w:pStyle w:val="Default"/>
        <w:numPr>
          <w:ilvl w:val="1"/>
          <w:numId w:val="3"/>
        </w:numPr>
        <w:rPr>
          <w:sz w:val="23"/>
          <w:szCs w:val="23"/>
        </w:rPr>
      </w:pPr>
      <w:r>
        <w:rPr>
          <w:sz w:val="23"/>
          <w:szCs w:val="23"/>
        </w:rPr>
        <w:t xml:space="preserve">Enabling the Housing Company to achieve a surplus position from which it can pay dividends to the shareholder earlier than previously planned </w:t>
      </w:r>
      <w:r w:rsidR="000833D1">
        <w:rPr>
          <w:sz w:val="23"/>
          <w:szCs w:val="23"/>
        </w:rPr>
        <w:t>i.e.</w:t>
      </w:r>
      <w:r>
        <w:rPr>
          <w:sz w:val="23"/>
          <w:szCs w:val="23"/>
        </w:rPr>
        <w:t xml:space="preserve"> </w:t>
      </w:r>
      <w:r w:rsidRPr="0045662E">
        <w:rPr>
          <w:sz w:val="23"/>
          <w:szCs w:val="23"/>
        </w:rPr>
        <w:t>202</w:t>
      </w:r>
      <w:r w:rsidR="0035713C">
        <w:rPr>
          <w:sz w:val="23"/>
          <w:szCs w:val="23"/>
        </w:rPr>
        <w:t>3</w:t>
      </w:r>
      <w:r w:rsidRPr="0045662E">
        <w:rPr>
          <w:sz w:val="23"/>
          <w:szCs w:val="23"/>
        </w:rPr>
        <w:t>-2</w:t>
      </w:r>
      <w:r w:rsidR="0035713C">
        <w:rPr>
          <w:sz w:val="23"/>
          <w:szCs w:val="23"/>
        </w:rPr>
        <w:t>4</w:t>
      </w:r>
    </w:p>
    <w:p w:rsidR="004563E6" w:rsidRPr="0045662E" w:rsidRDefault="004563E6" w:rsidP="00AD3059">
      <w:pPr>
        <w:pStyle w:val="Default"/>
        <w:rPr>
          <w:sz w:val="23"/>
          <w:szCs w:val="23"/>
        </w:rPr>
      </w:pPr>
    </w:p>
    <w:p w:rsidR="00214432" w:rsidRPr="0045662E" w:rsidRDefault="00214432" w:rsidP="001567C0">
      <w:pPr>
        <w:pStyle w:val="Default"/>
        <w:ind w:left="720" w:right="386" w:hanging="720"/>
        <w:jc w:val="both"/>
      </w:pPr>
    </w:p>
    <w:p w:rsidR="00214432" w:rsidRDefault="007E34DD" w:rsidP="0045662E">
      <w:pPr>
        <w:pStyle w:val="Default"/>
        <w:ind w:left="720" w:right="386" w:hanging="720"/>
      </w:pPr>
      <w:r>
        <w:t>69</w:t>
      </w:r>
      <w:r w:rsidR="0045662E">
        <w:tab/>
      </w:r>
      <w:r w:rsidR="00AD3059" w:rsidRPr="0045662E">
        <w:t xml:space="preserve">The estimated financial returns, namely net interest and dividends </w:t>
      </w:r>
      <w:r w:rsidR="001B13BD" w:rsidRPr="0045662E">
        <w:t>from the Housing Compa</w:t>
      </w:r>
      <w:r w:rsidR="00C52DEE" w:rsidRPr="0045662E">
        <w:t xml:space="preserve">ny </w:t>
      </w:r>
      <w:r w:rsidR="00AD3059" w:rsidRPr="0045662E">
        <w:t xml:space="preserve">allowing for some risk adjustment, </w:t>
      </w:r>
      <w:r w:rsidR="00603CCF">
        <w:t>included in the Council</w:t>
      </w:r>
      <w:r w:rsidR="00BD2F96">
        <w:t>’</w:t>
      </w:r>
      <w:r w:rsidR="00603CCF">
        <w:t>s MTF</w:t>
      </w:r>
      <w:r w:rsidR="001156ED">
        <w:t>S</w:t>
      </w:r>
      <w:r w:rsidR="001B13BD" w:rsidRPr="0045662E">
        <w:t xml:space="preserve"> are as </w:t>
      </w:r>
      <w:proofErr w:type="gramStart"/>
      <w:r w:rsidR="004C7192" w:rsidRPr="0045662E">
        <w:t>follows</w:t>
      </w:r>
      <w:r w:rsidR="00D31F40" w:rsidRPr="0045662E">
        <w:t xml:space="preserve"> </w:t>
      </w:r>
      <w:r w:rsidR="004C7192" w:rsidRPr="0045662E">
        <w:t>:</w:t>
      </w:r>
      <w:proofErr w:type="gramEnd"/>
    </w:p>
    <w:p w:rsidR="00B436F1" w:rsidRDefault="00B436F1" w:rsidP="0045662E">
      <w:pPr>
        <w:pStyle w:val="Default"/>
        <w:ind w:left="720" w:right="386" w:hanging="720"/>
      </w:pPr>
    </w:p>
    <w:p w:rsidR="00B436F1" w:rsidRPr="0045662E" w:rsidRDefault="00B436F1" w:rsidP="0045662E">
      <w:pPr>
        <w:pStyle w:val="Default"/>
        <w:ind w:left="720" w:right="386" w:hanging="720"/>
      </w:pPr>
    </w:p>
    <w:p w:rsidR="00214432" w:rsidRPr="00000222" w:rsidRDefault="00214432" w:rsidP="00214432">
      <w:pPr>
        <w:pStyle w:val="Default"/>
        <w:ind w:left="567" w:right="386" w:hanging="567"/>
        <w:jc w:val="both"/>
        <w:rPr>
          <w:highlight w:val="yellow"/>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1366"/>
        <w:gridCol w:w="1346"/>
        <w:gridCol w:w="1356"/>
        <w:gridCol w:w="1207"/>
      </w:tblGrid>
      <w:tr w:rsidR="009113C5" w:rsidRPr="00000222" w:rsidTr="001F46D8">
        <w:tc>
          <w:tcPr>
            <w:tcW w:w="8325" w:type="dxa"/>
            <w:gridSpan w:val="5"/>
            <w:shd w:val="clear" w:color="auto" w:fill="auto"/>
          </w:tcPr>
          <w:p w:rsidR="009113C5" w:rsidRPr="00722C22" w:rsidRDefault="003C42AA" w:rsidP="009B6FD6">
            <w:pPr>
              <w:pStyle w:val="Default"/>
              <w:ind w:right="123"/>
              <w:rPr>
                <w:b/>
              </w:rPr>
            </w:pPr>
            <w:r w:rsidRPr="00722C22">
              <w:rPr>
                <w:b/>
              </w:rPr>
              <w:lastRenderedPageBreak/>
              <w:t xml:space="preserve">Table </w:t>
            </w:r>
            <w:r w:rsidR="00E250EA">
              <w:rPr>
                <w:b/>
              </w:rPr>
              <w:t>1</w:t>
            </w:r>
            <w:r w:rsidR="00967143">
              <w:rPr>
                <w:b/>
              </w:rPr>
              <w:t>1</w:t>
            </w:r>
            <w:r w:rsidR="009113C5" w:rsidRPr="00722C22">
              <w:rPr>
                <w:b/>
              </w:rPr>
              <w:t xml:space="preserve"> : Revenue Returns to Council </w:t>
            </w:r>
            <w:r w:rsidR="002E1FDE">
              <w:rPr>
                <w:b/>
              </w:rPr>
              <w:t xml:space="preserve">form OCHL </w:t>
            </w:r>
            <w:r w:rsidR="009113C5" w:rsidRPr="00722C22">
              <w:rPr>
                <w:b/>
              </w:rPr>
              <w:t>202</w:t>
            </w:r>
            <w:r w:rsidR="0045662E" w:rsidRPr="00722C22">
              <w:rPr>
                <w:b/>
              </w:rPr>
              <w:t>1</w:t>
            </w:r>
            <w:r w:rsidR="009113C5" w:rsidRPr="00722C22">
              <w:rPr>
                <w:b/>
              </w:rPr>
              <w:t>/2</w:t>
            </w:r>
            <w:r w:rsidR="00520071" w:rsidRPr="00722C22">
              <w:rPr>
                <w:b/>
              </w:rPr>
              <w:t>2</w:t>
            </w:r>
            <w:r w:rsidR="009113C5" w:rsidRPr="00722C22">
              <w:rPr>
                <w:b/>
              </w:rPr>
              <w:t xml:space="preserve"> to 202</w:t>
            </w:r>
            <w:r w:rsidR="0045662E" w:rsidRPr="00722C22">
              <w:rPr>
                <w:b/>
              </w:rPr>
              <w:t>4</w:t>
            </w:r>
            <w:r w:rsidR="009113C5" w:rsidRPr="00722C22">
              <w:rPr>
                <w:b/>
              </w:rPr>
              <w:t>/2</w:t>
            </w:r>
            <w:r w:rsidR="0045662E" w:rsidRPr="00722C22">
              <w:rPr>
                <w:b/>
              </w:rPr>
              <w:t>5</w:t>
            </w:r>
          </w:p>
        </w:tc>
      </w:tr>
      <w:tr w:rsidR="001B13BD" w:rsidRPr="00000222" w:rsidTr="001F46D8">
        <w:tc>
          <w:tcPr>
            <w:tcW w:w="3050" w:type="dxa"/>
            <w:shd w:val="clear" w:color="auto" w:fill="auto"/>
          </w:tcPr>
          <w:p w:rsidR="001B13BD" w:rsidRPr="00722C22" w:rsidRDefault="001B13BD" w:rsidP="001B13BD">
            <w:pPr>
              <w:pStyle w:val="Default"/>
              <w:ind w:right="386"/>
              <w:jc w:val="both"/>
            </w:pPr>
          </w:p>
        </w:tc>
        <w:tc>
          <w:tcPr>
            <w:tcW w:w="1366" w:type="dxa"/>
            <w:shd w:val="clear" w:color="auto" w:fill="BFBFBF"/>
          </w:tcPr>
          <w:p w:rsidR="001B13BD" w:rsidRPr="00722C22" w:rsidRDefault="001B13BD" w:rsidP="0045662E">
            <w:pPr>
              <w:pStyle w:val="Default"/>
              <w:jc w:val="center"/>
              <w:rPr>
                <w:b/>
              </w:rPr>
            </w:pPr>
            <w:r w:rsidRPr="00722C22">
              <w:rPr>
                <w:b/>
              </w:rPr>
              <w:t>202</w:t>
            </w:r>
            <w:r w:rsidR="0045662E" w:rsidRPr="00722C22">
              <w:rPr>
                <w:b/>
              </w:rPr>
              <w:t>1</w:t>
            </w:r>
            <w:r w:rsidRPr="00722C22">
              <w:rPr>
                <w:b/>
              </w:rPr>
              <w:t>/2</w:t>
            </w:r>
            <w:r w:rsidR="0045662E" w:rsidRPr="00722C22">
              <w:rPr>
                <w:b/>
              </w:rPr>
              <w:t>2</w:t>
            </w:r>
          </w:p>
        </w:tc>
        <w:tc>
          <w:tcPr>
            <w:tcW w:w="1346" w:type="dxa"/>
            <w:shd w:val="clear" w:color="auto" w:fill="BFBFBF"/>
          </w:tcPr>
          <w:p w:rsidR="001B13BD" w:rsidRPr="00722C22" w:rsidRDefault="001B13BD" w:rsidP="0045662E">
            <w:pPr>
              <w:pStyle w:val="Default"/>
              <w:ind w:right="123"/>
              <w:jc w:val="center"/>
              <w:rPr>
                <w:b/>
              </w:rPr>
            </w:pPr>
            <w:r w:rsidRPr="00722C22">
              <w:rPr>
                <w:b/>
              </w:rPr>
              <w:t>202</w:t>
            </w:r>
            <w:r w:rsidR="0045662E" w:rsidRPr="00722C22">
              <w:rPr>
                <w:b/>
              </w:rPr>
              <w:t>2</w:t>
            </w:r>
            <w:r w:rsidRPr="00722C22">
              <w:rPr>
                <w:b/>
              </w:rPr>
              <w:t>/2</w:t>
            </w:r>
            <w:r w:rsidR="0045662E" w:rsidRPr="00722C22">
              <w:rPr>
                <w:b/>
              </w:rPr>
              <w:t>3</w:t>
            </w:r>
          </w:p>
        </w:tc>
        <w:tc>
          <w:tcPr>
            <w:tcW w:w="1356" w:type="dxa"/>
            <w:shd w:val="clear" w:color="auto" w:fill="BFBFBF"/>
          </w:tcPr>
          <w:p w:rsidR="001B13BD" w:rsidRPr="00722C22" w:rsidRDefault="001B13BD" w:rsidP="0045662E">
            <w:pPr>
              <w:pStyle w:val="Default"/>
              <w:ind w:right="123"/>
              <w:jc w:val="center"/>
              <w:rPr>
                <w:b/>
              </w:rPr>
            </w:pPr>
            <w:r w:rsidRPr="00722C22">
              <w:rPr>
                <w:b/>
              </w:rPr>
              <w:t>202</w:t>
            </w:r>
            <w:r w:rsidR="0045662E" w:rsidRPr="00722C22">
              <w:rPr>
                <w:b/>
              </w:rPr>
              <w:t>3</w:t>
            </w:r>
            <w:r w:rsidRPr="00722C22">
              <w:rPr>
                <w:b/>
              </w:rPr>
              <w:t>/2</w:t>
            </w:r>
            <w:r w:rsidR="0045662E" w:rsidRPr="00722C22">
              <w:rPr>
                <w:b/>
              </w:rPr>
              <w:t>4</w:t>
            </w:r>
          </w:p>
        </w:tc>
        <w:tc>
          <w:tcPr>
            <w:tcW w:w="1207" w:type="dxa"/>
            <w:shd w:val="clear" w:color="auto" w:fill="BFBFBF"/>
          </w:tcPr>
          <w:p w:rsidR="001B13BD" w:rsidRPr="00722C22" w:rsidRDefault="001B13BD" w:rsidP="0045662E">
            <w:pPr>
              <w:pStyle w:val="Default"/>
              <w:ind w:right="123"/>
              <w:jc w:val="center"/>
              <w:rPr>
                <w:b/>
              </w:rPr>
            </w:pPr>
            <w:r w:rsidRPr="00722C22">
              <w:rPr>
                <w:b/>
              </w:rPr>
              <w:t>202</w:t>
            </w:r>
            <w:r w:rsidR="0045662E" w:rsidRPr="00722C22">
              <w:rPr>
                <w:b/>
              </w:rPr>
              <w:t>4</w:t>
            </w:r>
            <w:r w:rsidRPr="00722C22">
              <w:rPr>
                <w:b/>
              </w:rPr>
              <w:t>/2</w:t>
            </w:r>
            <w:r w:rsidR="0045662E" w:rsidRPr="00722C22">
              <w:rPr>
                <w:b/>
              </w:rPr>
              <w:t>5</w:t>
            </w:r>
          </w:p>
        </w:tc>
      </w:tr>
      <w:tr w:rsidR="001B13BD" w:rsidRPr="00000222" w:rsidTr="001F46D8">
        <w:tc>
          <w:tcPr>
            <w:tcW w:w="3050" w:type="dxa"/>
            <w:shd w:val="clear" w:color="auto" w:fill="auto"/>
          </w:tcPr>
          <w:p w:rsidR="001B13BD" w:rsidRPr="00722C22" w:rsidRDefault="001B13BD" w:rsidP="001B13BD">
            <w:pPr>
              <w:pStyle w:val="Default"/>
              <w:ind w:right="386"/>
              <w:jc w:val="both"/>
            </w:pPr>
          </w:p>
        </w:tc>
        <w:tc>
          <w:tcPr>
            <w:tcW w:w="1366" w:type="dxa"/>
            <w:shd w:val="clear" w:color="auto" w:fill="BFBFBF"/>
          </w:tcPr>
          <w:p w:rsidR="001B13BD" w:rsidRPr="00722C22" w:rsidRDefault="001B13BD" w:rsidP="00C02E4C">
            <w:pPr>
              <w:pStyle w:val="Default"/>
              <w:ind w:right="123"/>
              <w:jc w:val="center"/>
              <w:rPr>
                <w:b/>
              </w:rPr>
            </w:pPr>
            <w:r w:rsidRPr="00722C22">
              <w:rPr>
                <w:b/>
              </w:rPr>
              <w:t>£000’s</w:t>
            </w:r>
          </w:p>
        </w:tc>
        <w:tc>
          <w:tcPr>
            <w:tcW w:w="1346" w:type="dxa"/>
            <w:shd w:val="clear" w:color="auto" w:fill="BFBFBF"/>
          </w:tcPr>
          <w:p w:rsidR="001B13BD" w:rsidRPr="00722C22" w:rsidRDefault="001B13BD" w:rsidP="00C02E4C">
            <w:pPr>
              <w:pStyle w:val="Default"/>
              <w:ind w:right="123"/>
              <w:jc w:val="center"/>
              <w:rPr>
                <w:b/>
              </w:rPr>
            </w:pPr>
            <w:r w:rsidRPr="00722C22">
              <w:rPr>
                <w:b/>
              </w:rPr>
              <w:t>£000’s</w:t>
            </w:r>
          </w:p>
        </w:tc>
        <w:tc>
          <w:tcPr>
            <w:tcW w:w="1356" w:type="dxa"/>
            <w:shd w:val="clear" w:color="auto" w:fill="BFBFBF"/>
          </w:tcPr>
          <w:p w:rsidR="001B13BD" w:rsidRPr="00722C22" w:rsidRDefault="001B13BD" w:rsidP="00C02E4C">
            <w:pPr>
              <w:pStyle w:val="Default"/>
              <w:ind w:right="123"/>
              <w:jc w:val="center"/>
              <w:rPr>
                <w:b/>
              </w:rPr>
            </w:pPr>
            <w:r w:rsidRPr="00722C22">
              <w:rPr>
                <w:b/>
              </w:rPr>
              <w:t>£000’s</w:t>
            </w:r>
          </w:p>
        </w:tc>
        <w:tc>
          <w:tcPr>
            <w:tcW w:w="1207" w:type="dxa"/>
            <w:shd w:val="clear" w:color="auto" w:fill="BFBFBF"/>
          </w:tcPr>
          <w:p w:rsidR="001B13BD" w:rsidRPr="00722C22" w:rsidRDefault="001B13BD" w:rsidP="00C02E4C">
            <w:pPr>
              <w:pStyle w:val="Default"/>
              <w:ind w:right="123"/>
              <w:jc w:val="center"/>
              <w:rPr>
                <w:b/>
              </w:rPr>
            </w:pPr>
            <w:r w:rsidRPr="00722C22">
              <w:rPr>
                <w:b/>
              </w:rPr>
              <w:t>£000’s</w:t>
            </w:r>
          </w:p>
        </w:tc>
      </w:tr>
      <w:tr w:rsidR="001B13BD" w:rsidRPr="00000222" w:rsidTr="001F46D8">
        <w:tc>
          <w:tcPr>
            <w:tcW w:w="3050" w:type="dxa"/>
            <w:shd w:val="clear" w:color="auto" w:fill="auto"/>
          </w:tcPr>
          <w:p w:rsidR="001B13BD" w:rsidRPr="00722C22" w:rsidRDefault="001B13BD" w:rsidP="001B13BD">
            <w:pPr>
              <w:pStyle w:val="Default"/>
              <w:ind w:right="386"/>
              <w:jc w:val="both"/>
              <w:rPr>
                <w:b/>
              </w:rPr>
            </w:pPr>
            <w:r w:rsidRPr="00722C22">
              <w:rPr>
                <w:b/>
              </w:rPr>
              <w:t>Loans</w:t>
            </w:r>
            <w:r w:rsidR="00F8251E" w:rsidRPr="00722C22">
              <w:rPr>
                <w:b/>
              </w:rPr>
              <w:t xml:space="preserve"> outstanding at year end</w:t>
            </w:r>
            <w:r w:rsidRPr="00722C22">
              <w:rPr>
                <w:b/>
              </w:rPr>
              <w:t xml:space="preserve"> to Company </w:t>
            </w:r>
          </w:p>
        </w:tc>
        <w:tc>
          <w:tcPr>
            <w:tcW w:w="1366" w:type="dxa"/>
            <w:shd w:val="clear" w:color="auto" w:fill="auto"/>
          </w:tcPr>
          <w:p w:rsidR="001B13BD" w:rsidRPr="00722C22" w:rsidRDefault="00722C22" w:rsidP="00C02E4C">
            <w:pPr>
              <w:pStyle w:val="Default"/>
              <w:jc w:val="center"/>
            </w:pPr>
            <w:r w:rsidRPr="00722C22">
              <w:t>77,535</w:t>
            </w:r>
          </w:p>
        </w:tc>
        <w:tc>
          <w:tcPr>
            <w:tcW w:w="1346" w:type="dxa"/>
            <w:shd w:val="clear" w:color="auto" w:fill="auto"/>
          </w:tcPr>
          <w:p w:rsidR="001B13BD" w:rsidRPr="00722C22" w:rsidRDefault="00722C22" w:rsidP="00C02E4C">
            <w:pPr>
              <w:pStyle w:val="Default"/>
              <w:ind w:right="34"/>
              <w:jc w:val="center"/>
            </w:pPr>
            <w:r w:rsidRPr="00722C22">
              <w:t>105,832</w:t>
            </w:r>
          </w:p>
        </w:tc>
        <w:tc>
          <w:tcPr>
            <w:tcW w:w="1356" w:type="dxa"/>
            <w:shd w:val="clear" w:color="auto" w:fill="auto"/>
          </w:tcPr>
          <w:p w:rsidR="001B13BD" w:rsidRPr="00722C22" w:rsidRDefault="00722C22" w:rsidP="00C02E4C">
            <w:pPr>
              <w:pStyle w:val="Default"/>
              <w:jc w:val="center"/>
            </w:pPr>
            <w:r w:rsidRPr="00722C22">
              <w:t>114,646</w:t>
            </w:r>
          </w:p>
        </w:tc>
        <w:tc>
          <w:tcPr>
            <w:tcW w:w="1207" w:type="dxa"/>
          </w:tcPr>
          <w:p w:rsidR="001B13BD" w:rsidRPr="00722C22" w:rsidRDefault="00722C22" w:rsidP="00C02E4C">
            <w:pPr>
              <w:pStyle w:val="Default"/>
              <w:jc w:val="center"/>
            </w:pPr>
            <w:r w:rsidRPr="00722C22">
              <w:t>65,683</w:t>
            </w:r>
          </w:p>
        </w:tc>
      </w:tr>
      <w:tr w:rsidR="001B13BD" w:rsidRPr="00000222" w:rsidTr="001F46D8">
        <w:tc>
          <w:tcPr>
            <w:tcW w:w="3050" w:type="dxa"/>
            <w:shd w:val="clear" w:color="auto" w:fill="auto"/>
          </w:tcPr>
          <w:p w:rsidR="001B13BD" w:rsidRPr="00C14414" w:rsidRDefault="00520071" w:rsidP="001B13BD">
            <w:pPr>
              <w:pStyle w:val="Default"/>
              <w:ind w:right="386"/>
              <w:jc w:val="both"/>
            </w:pPr>
            <w:r w:rsidRPr="00C14414">
              <w:rPr>
                <w:b/>
              </w:rPr>
              <w:t>Revenue Returns to Council</w:t>
            </w:r>
          </w:p>
        </w:tc>
        <w:tc>
          <w:tcPr>
            <w:tcW w:w="1366" w:type="dxa"/>
            <w:shd w:val="clear" w:color="auto" w:fill="auto"/>
          </w:tcPr>
          <w:p w:rsidR="001B13BD" w:rsidRPr="0035713C" w:rsidRDefault="001B13BD" w:rsidP="00C02E4C">
            <w:pPr>
              <w:pStyle w:val="Default"/>
              <w:jc w:val="center"/>
            </w:pPr>
          </w:p>
        </w:tc>
        <w:tc>
          <w:tcPr>
            <w:tcW w:w="1346" w:type="dxa"/>
            <w:shd w:val="clear" w:color="auto" w:fill="auto"/>
          </w:tcPr>
          <w:p w:rsidR="001B13BD" w:rsidRPr="0035713C" w:rsidRDefault="001B13BD" w:rsidP="00C02E4C">
            <w:pPr>
              <w:pStyle w:val="Default"/>
              <w:ind w:right="34"/>
              <w:jc w:val="center"/>
            </w:pPr>
          </w:p>
        </w:tc>
        <w:tc>
          <w:tcPr>
            <w:tcW w:w="1356" w:type="dxa"/>
            <w:shd w:val="clear" w:color="auto" w:fill="auto"/>
          </w:tcPr>
          <w:p w:rsidR="001B13BD" w:rsidRPr="0035713C" w:rsidRDefault="001B13BD" w:rsidP="00C02E4C">
            <w:pPr>
              <w:pStyle w:val="Default"/>
              <w:jc w:val="center"/>
            </w:pPr>
          </w:p>
        </w:tc>
        <w:tc>
          <w:tcPr>
            <w:tcW w:w="1207" w:type="dxa"/>
          </w:tcPr>
          <w:p w:rsidR="001B13BD" w:rsidRPr="00520071" w:rsidRDefault="001B13BD" w:rsidP="00C02E4C">
            <w:pPr>
              <w:pStyle w:val="Default"/>
              <w:jc w:val="center"/>
            </w:pPr>
          </w:p>
        </w:tc>
      </w:tr>
      <w:tr w:rsidR="0035713C" w:rsidRPr="00000222" w:rsidTr="001F46D8">
        <w:tc>
          <w:tcPr>
            <w:tcW w:w="3050" w:type="dxa"/>
            <w:shd w:val="clear" w:color="auto" w:fill="auto"/>
          </w:tcPr>
          <w:p w:rsidR="0035713C" w:rsidRPr="00C14414" w:rsidRDefault="0035713C" w:rsidP="0035713C">
            <w:pPr>
              <w:pStyle w:val="Default"/>
              <w:ind w:right="386"/>
              <w:jc w:val="both"/>
              <w:rPr>
                <w:b/>
              </w:rPr>
            </w:pPr>
            <w:r w:rsidRPr="00C14414">
              <w:rPr>
                <w:b/>
              </w:rPr>
              <w:t xml:space="preserve">Gross Interest </w:t>
            </w:r>
          </w:p>
        </w:tc>
        <w:tc>
          <w:tcPr>
            <w:tcW w:w="1366" w:type="dxa"/>
            <w:shd w:val="clear" w:color="auto" w:fill="auto"/>
          </w:tcPr>
          <w:p w:rsidR="0035713C" w:rsidRPr="0035713C" w:rsidRDefault="0035713C" w:rsidP="0035713C">
            <w:pPr>
              <w:pStyle w:val="Default"/>
              <w:jc w:val="right"/>
            </w:pPr>
            <w:r w:rsidRPr="0035713C">
              <w:t>2,703</w:t>
            </w:r>
          </w:p>
        </w:tc>
        <w:tc>
          <w:tcPr>
            <w:tcW w:w="1346" w:type="dxa"/>
            <w:shd w:val="clear" w:color="auto" w:fill="auto"/>
          </w:tcPr>
          <w:p w:rsidR="0035713C" w:rsidRPr="0035713C" w:rsidRDefault="0035713C" w:rsidP="0035713C">
            <w:pPr>
              <w:pStyle w:val="Default"/>
              <w:ind w:right="34"/>
              <w:jc w:val="right"/>
            </w:pPr>
            <w:r w:rsidRPr="0035713C">
              <w:t>3,466</w:t>
            </w:r>
          </w:p>
        </w:tc>
        <w:tc>
          <w:tcPr>
            <w:tcW w:w="1356" w:type="dxa"/>
            <w:shd w:val="clear" w:color="auto" w:fill="auto"/>
          </w:tcPr>
          <w:p w:rsidR="0035713C" w:rsidRPr="0035713C" w:rsidRDefault="0035713C" w:rsidP="0035713C">
            <w:pPr>
              <w:pStyle w:val="Default"/>
              <w:jc w:val="right"/>
            </w:pPr>
            <w:r w:rsidRPr="0035713C">
              <w:t>5,914</w:t>
            </w:r>
          </w:p>
        </w:tc>
        <w:tc>
          <w:tcPr>
            <w:tcW w:w="1207" w:type="dxa"/>
          </w:tcPr>
          <w:p w:rsidR="0035713C" w:rsidRPr="00520071" w:rsidRDefault="0035713C" w:rsidP="0035713C">
            <w:pPr>
              <w:pStyle w:val="Default"/>
              <w:jc w:val="right"/>
            </w:pPr>
            <w:r>
              <w:t>6,884</w:t>
            </w:r>
          </w:p>
        </w:tc>
      </w:tr>
      <w:tr w:rsidR="0035713C" w:rsidRPr="00000222" w:rsidTr="001F46D8">
        <w:tc>
          <w:tcPr>
            <w:tcW w:w="3050" w:type="dxa"/>
            <w:shd w:val="clear" w:color="auto" w:fill="auto"/>
          </w:tcPr>
          <w:p w:rsidR="0035713C" w:rsidRPr="00C14414" w:rsidRDefault="0035713C" w:rsidP="0035713C">
            <w:pPr>
              <w:pStyle w:val="Default"/>
              <w:ind w:right="386"/>
              <w:jc w:val="both"/>
              <w:rPr>
                <w:b/>
              </w:rPr>
            </w:pPr>
            <w:r w:rsidRPr="00C14414">
              <w:rPr>
                <w:b/>
              </w:rPr>
              <w:t>Dividends</w:t>
            </w:r>
          </w:p>
        </w:tc>
        <w:tc>
          <w:tcPr>
            <w:tcW w:w="1366" w:type="dxa"/>
            <w:shd w:val="clear" w:color="auto" w:fill="auto"/>
          </w:tcPr>
          <w:p w:rsidR="0035713C" w:rsidRPr="0035713C" w:rsidRDefault="0035713C" w:rsidP="0035713C">
            <w:pPr>
              <w:pStyle w:val="Default"/>
              <w:jc w:val="right"/>
            </w:pPr>
            <w:r w:rsidRPr="0035713C">
              <w:t>0</w:t>
            </w:r>
          </w:p>
        </w:tc>
        <w:tc>
          <w:tcPr>
            <w:tcW w:w="1346" w:type="dxa"/>
            <w:shd w:val="clear" w:color="auto" w:fill="auto"/>
          </w:tcPr>
          <w:p w:rsidR="0035713C" w:rsidRPr="0035713C" w:rsidRDefault="0035713C" w:rsidP="0035713C">
            <w:pPr>
              <w:pStyle w:val="Default"/>
              <w:ind w:right="34"/>
              <w:jc w:val="right"/>
            </w:pPr>
            <w:r w:rsidRPr="0035713C">
              <w:t>0</w:t>
            </w:r>
          </w:p>
        </w:tc>
        <w:tc>
          <w:tcPr>
            <w:tcW w:w="1356" w:type="dxa"/>
            <w:shd w:val="clear" w:color="auto" w:fill="auto"/>
          </w:tcPr>
          <w:p w:rsidR="0035713C" w:rsidRPr="0035713C" w:rsidRDefault="0035713C" w:rsidP="0035713C">
            <w:pPr>
              <w:pStyle w:val="Default"/>
              <w:jc w:val="right"/>
            </w:pPr>
            <w:r w:rsidRPr="0035713C">
              <w:t>764</w:t>
            </w:r>
          </w:p>
        </w:tc>
        <w:tc>
          <w:tcPr>
            <w:tcW w:w="1207" w:type="dxa"/>
          </w:tcPr>
          <w:p w:rsidR="0035713C" w:rsidRPr="00520071" w:rsidRDefault="0035713C" w:rsidP="0035713C">
            <w:pPr>
              <w:pStyle w:val="Default"/>
              <w:jc w:val="right"/>
            </w:pPr>
            <w:r>
              <w:t>5,125</w:t>
            </w:r>
          </w:p>
        </w:tc>
      </w:tr>
      <w:tr w:rsidR="0035713C" w:rsidRPr="00000222" w:rsidTr="001F46D8">
        <w:tc>
          <w:tcPr>
            <w:tcW w:w="3050" w:type="dxa"/>
            <w:shd w:val="clear" w:color="auto" w:fill="auto"/>
          </w:tcPr>
          <w:p w:rsidR="0035713C" w:rsidRPr="00520071" w:rsidRDefault="0035713C" w:rsidP="0035713C">
            <w:pPr>
              <w:pStyle w:val="Default"/>
              <w:ind w:right="386"/>
              <w:jc w:val="both"/>
              <w:rPr>
                <w:b/>
              </w:rPr>
            </w:pPr>
          </w:p>
        </w:tc>
        <w:tc>
          <w:tcPr>
            <w:tcW w:w="1366" w:type="dxa"/>
            <w:shd w:val="clear" w:color="auto" w:fill="auto"/>
          </w:tcPr>
          <w:p w:rsidR="0035713C" w:rsidRPr="0035713C" w:rsidRDefault="0035713C" w:rsidP="0035713C">
            <w:pPr>
              <w:pStyle w:val="Default"/>
              <w:jc w:val="right"/>
            </w:pPr>
          </w:p>
        </w:tc>
        <w:tc>
          <w:tcPr>
            <w:tcW w:w="1346" w:type="dxa"/>
            <w:shd w:val="clear" w:color="auto" w:fill="auto"/>
          </w:tcPr>
          <w:p w:rsidR="0035713C" w:rsidRPr="0035713C" w:rsidRDefault="0035713C" w:rsidP="0035713C">
            <w:pPr>
              <w:pStyle w:val="Default"/>
              <w:ind w:right="34"/>
              <w:jc w:val="right"/>
            </w:pPr>
          </w:p>
        </w:tc>
        <w:tc>
          <w:tcPr>
            <w:tcW w:w="1356" w:type="dxa"/>
            <w:shd w:val="clear" w:color="auto" w:fill="auto"/>
          </w:tcPr>
          <w:p w:rsidR="0035713C" w:rsidRPr="0035713C" w:rsidRDefault="0035713C" w:rsidP="0035713C">
            <w:pPr>
              <w:pStyle w:val="Default"/>
              <w:jc w:val="right"/>
            </w:pPr>
          </w:p>
        </w:tc>
        <w:tc>
          <w:tcPr>
            <w:tcW w:w="1207" w:type="dxa"/>
          </w:tcPr>
          <w:p w:rsidR="0035713C" w:rsidRPr="00520071" w:rsidRDefault="0035713C" w:rsidP="0035713C">
            <w:pPr>
              <w:pStyle w:val="Default"/>
              <w:jc w:val="right"/>
            </w:pPr>
          </w:p>
        </w:tc>
      </w:tr>
      <w:tr w:rsidR="0035713C" w:rsidRPr="00000222" w:rsidTr="001F46D8">
        <w:tc>
          <w:tcPr>
            <w:tcW w:w="3050" w:type="dxa"/>
            <w:shd w:val="clear" w:color="auto" w:fill="auto"/>
          </w:tcPr>
          <w:p w:rsidR="0035713C" w:rsidRPr="00520071" w:rsidRDefault="0035713C" w:rsidP="0035713C">
            <w:pPr>
              <w:pStyle w:val="Default"/>
              <w:ind w:right="386"/>
              <w:jc w:val="both"/>
              <w:rPr>
                <w:b/>
              </w:rPr>
            </w:pPr>
            <w:r w:rsidRPr="00520071">
              <w:rPr>
                <w:b/>
              </w:rPr>
              <w:t>Total</w:t>
            </w:r>
          </w:p>
        </w:tc>
        <w:tc>
          <w:tcPr>
            <w:tcW w:w="1366" w:type="dxa"/>
            <w:shd w:val="clear" w:color="auto" w:fill="auto"/>
          </w:tcPr>
          <w:p w:rsidR="0035713C" w:rsidRPr="00520071" w:rsidRDefault="0035713C" w:rsidP="0035713C">
            <w:pPr>
              <w:pStyle w:val="Default"/>
              <w:jc w:val="right"/>
            </w:pPr>
            <w:r w:rsidRPr="00520071">
              <w:t>2,</w:t>
            </w:r>
            <w:r>
              <w:t>703</w:t>
            </w:r>
          </w:p>
        </w:tc>
        <w:tc>
          <w:tcPr>
            <w:tcW w:w="1346" w:type="dxa"/>
            <w:shd w:val="clear" w:color="auto" w:fill="auto"/>
          </w:tcPr>
          <w:p w:rsidR="0035713C" w:rsidRPr="00520071" w:rsidRDefault="0035713C" w:rsidP="0035713C">
            <w:pPr>
              <w:pStyle w:val="Default"/>
              <w:ind w:right="34"/>
              <w:jc w:val="right"/>
            </w:pPr>
            <w:r>
              <w:t>3.466</w:t>
            </w:r>
          </w:p>
        </w:tc>
        <w:tc>
          <w:tcPr>
            <w:tcW w:w="1356" w:type="dxa"/>
            <w:shd w:val="clear" w:color="auto" w:fill="auto"/>
          </w:tcPr>
          <w:p w:rsidR="0035713C" w:rsidRPr="00520071" w:rsidRDefault="0035713C" w:rsidP="0035713C">
            <w:pPr>
              <w:pStyle w:val="Default"/>
              <w:jc w:val="right"/>
            </w:pPr>
            <w:r>
              <w:t>6,678</w:t>
            </w:r>
          </w:p>
        </w:tc>
        <w:tc>
          <w:tcPr>
            <w:tcW w:w="1207" w:type="dxa"/>
          </w:tcPr>
          <w:p w:rsidR="0035713C" w:rsidRPr="00520071" w:rsidRDefault="0035713C" w:rsidP="0035713C">
            <w:pPr>
              <w:pStyle w:val="Default"/>
              <w:jc w:val="right"/>
            </w:pPr>
            <w:r>
              <w:t>12,009</w:t>
            </w:r>
          </w:p>
        </w:tc>
      </w:tr>
    </w:tbl>
    <w:p w:rsidR="00214432" w:rsidRPr="00000222" w:rsidRDefault="00214432" w:rsidP="00214432">
      <w:pPr>
        <w:pStyle w:val="Default"/>
        <w:ind w:left="567" w:right="386" w:hanging="567"/>
        <w:jc w:val="both"/>
        <w:rPr>
          <w:highlight w:val="yellow"/>
        </w:rPr>
      </w:pPr>
    </w:p>
    <w:p w:rsidR="00214432" w:rsidRPr="00000222" w:rsidRDefault="00214432" w:rsidP="00D31F40">
      <w:pPr>
        <w:pStyle w:val="Default"/>
        <w:ind w:left="567" w:right="386"/>
        <w:jc w:val="both"/>
        <w:rPr>
          <w:b/>
          <w:highlight w:val="yellow"/>
        </w:rPr>
      </w:pPr>
    </w:p>
    <w:p w:rsidR="00214432" w:rsidRPr="0005470D" w:rsidRDefault="00262853" w:rsidP="00214432">
      <w:pPr>
        <w:pStyle w:val="Default"/>
        <w:ind w:left="567" w:right="386" w:hanging="567"/>
        <w:jc w:val="both"/>
        <w:rPr>
          <w:b/>
        </w:rPr>
      </w:pPr>
      <w:r w:rsidRPr="0005470D">
        <w:rPr>
          <w:b/>
        </w:rPr>
        <w:t>Oxford West End Development Ltd (</w:t>
      </w:r>
      <w:r w:rsidR="00214432" w:rsidRPr="0005470D">
        <w:rPr>
          <w:b/>
        </w:rPr>
        <w:t>OXWED</w:t>
      </w:r>
      <w:r w:rsidRPr="0005470D">
        <w:rPr>
          <w:b/>
        </w:rPr>
        <w:t>)</w:t>
      </w:r>
    </w:p>
    <w:p w:rsidR="00262853" w:rsidRPr="0005470D" w:rsidRDefault="00262853" w:rsidP="00214432">
      <w:pPr>
        <w:pStyle w:val="Default"/>
        <w:ind w:left="567" w:right="386" w:hanging="567"/>
        <w:jc w:val="both"/>
        <w:rPr>
          <w:b/>
        </w:rPr>
      </w:pPr>
    </w:p>
    <w:p w:rsidR="00F8251E" w:rsidRPr="0005470D" w:rsidRDefault="00214432" w:rsidP="007E34DD">
      <w:pPr>
        <w:pStyle w:val="Default"/>
        <w:numPr>
          <w:ilvl w:val="0"/>
          <w:numId w:val="55"/>
        </w:numPr>
        <w:ind w:left="709" w:right="386" w:hanging="709"/>
      </w:pPr>
      <w:r w:rsidRPr="0005470D">
        <w:t xml:space="preserve">The Council has a 50/50 partnership with Nuffield College to undertake the development of the land at </w:t>
      </w:r>
      <w:proofErr w:type="spellStart"/>
      <w:r w:rsidRPr="0005470D">
        <w:t>Oxpens</w:t>
      </w:r>
      <w:proofErr w:type="spellEnd"/>
      <w:r w:rsidRPr="0005470D">
        <w:t>. The Council approved loans totaling £</w:t>
      </w:r>
      <w:r w:rsidR="00F8251E" w:rsidRPr="0005470D">
        <w:t>10</w:t>
      </w:r>
      <w:r w:rsidRPr="0005470D">
        <w:t>.</w:t>
      </w:r>
      <w:r w:rsidR="00F8251E" w:rsidRPr="0005470D">
        <w:t>6</w:t>
      </w:r>
      <w:r w:rsidRPr="0005470D">
        <w:t xml:space="preserve"> million </w:t>
      </w:r>
      <w:r w:rsidR="00F8251E" w:rsidRPr="0005470D">
        <w:t xml:space="preserve">for its 50% share </w:t>
      </w:r>
      <w:r w:rsidR="004C7192" w:rsidRPr="0005470D">
        <w:t>of:</w:t>
      </w:r>
    </w:p>
    <w:p w:rsidR="00F8251E" w:rsidRPr="0005470D" w:rsidRDefault="00F8251E" w:rsidP="001F46D8">
      <w:pPr>
        <w:pStyle w:val="Default"/>
        <w:ind w:left="709" w:right="386" w:hanging="709"/>
      </w:pPr>
    </w:p>
    <w:p w:rsidR="00F8251E" w:rsidRPr="0005470D" w:rsidRDefault="00214432" w:rsidP="007E34DD">
      <w:pPr>
        <w:pStyle w:val="Default"/>
        <w:numPr>
          <w:ilvl w:val="0"/>
          <w:numId w:val="23"/>
        </w:numPr>
        <w:ind w:right="386" w:hanging="578"/>
      </w:pPr>
      <w:r w:rsidRPr="0005470D">
        <w:t>the cost of purchasing land fr</w:t>
      </w:r>
      <w:r w:rsidR="00D31F40" w:rsidRPr="0005470D">
        <w:t>om</w:t>
      </w:r>
      <w:r w:rsidRPr="0005470D">
        <w:t xml:space="preserve"> London Continental Railways in December 2017</w:t>
      </w:r>
      <w:r w:rsidR="00F8251E" w:rsidRPr="0005470D">
        <w:t xml:space="preserve"> </w:t>
      </w:r>
      <w:r w:rsidR="004C7192" w:rsidRPr="0005470D">
        <w:t>totaling</w:t>
      </w:r>
      <w:r w:rsidR="00F8251E" w:rsidRPr="0005470D">
        <w:t xml:space="preserve"> £6.4 million</w:t>
      </w:r>
      <w:r w:rsidRPr="0005470D">
        <w:t xml:space="preserve"> and </w:t>
      </w:r>
    </w:p>
    <w:p w:rsidR="00F8251E" w:rsidRPr="0005470D" w:rsidRDefault="00F8251E" w:rsidP="007E34DD">
      <w:pPr>
        <w:pStyle w:val="Default"/>
        <w:numPr>
          <w:ilvl w:val="0"/>
          <w:numId w:val="23"/>
        </w:numPr>
        <w:ind w:right="386" w:hanging="578"/>
      </w:pPr>
      <w:r w:rsidRPr="0005470D">
        <w:t xml:space="preserve">the cost of land owned by the Council at </w:t>
      </w:r>
      <w:proofErr w:type="spellStart"/>
      <w:r w:rsidRPr="0005470D">
        <w:t>Oxpens</w:t>
      </w:r>
      <w:proofErr w:type="spellEnd"/>
      <w:r w:rsidRPr="0005470D">
        <w:t xml:space="preserve"> in </w:t>
      </w:r>
      <w:r w:rsidR="00214432" w:rsidRPr="0005470D">
        <w:t xml:space="preserve">November 2018 </w:t>
      </w:r>
      <w:r w:rsidRPr="0005470D">
        <w:t xml:space="preserve">(for </w:t>
      </w:r>
      <w:r w:rsidR="004C7192" w:rsidRPr="0005470D">
        <w:t>which</w:t>
      </w:r>
      <w:r w:rsidRPr="0005470D">
        <w:t xml:space="preserve"> the Council </w:t>
      </w:r>
      <w:r w:rsidR="004C7192" w:rsidRPr="0005470D">
        <w:t>received</w:t>
      </w:r>
      <w:r w:rsidRPr="0005470D">
        <w:t xml:space="preserve"> £8milliion) </w:t>
      </w:r>
      <w:r w:rsidR="00D93703" w:rsidRPr="0005470D">
        <w:t>totaling</w:t>
      </w:r>
      <w:r w:rsidR="00214432" w:rsidRPr="0005470D">
        <w:t xml:space="preserve"> £4.1 million </w:t>
      </w:r>
    </w:p>
    <w:p w:rsidR="00F8251E" w:rsidRPr="0005470D" w:rsidRDefault="00F8251E" w:rsidP="001F46D8">
      <w:pPr>
        <w:pStyle w:val="Default"/>
        <w:ind w:left="709" w:right="386" w:hanging="709"/>
      </w:pPr>
    </w:p>
    <w:p w:rsidR="00214432" w:rsidRPr="0005470D" w:rsidRDefault="00214432" w:rsidP="007E34DD">
      <w:pPr>
        <w:pStyle w:val="Default"/>
        <w:numPr>
          <w:ilvl w:val="0"/>
          <w:numId w:val="55"/>
        </w:numPr>
        <w:ind w:left="709" w:right="386" w:hanging="709"/>
      </w:pPr>
      <w:r w:rsidRPr="0005470D">
        <w:t>The loan investment rate is 6.5%</w:t>
      </w:r>
      <w:r w:rsidR="00830665" w:rsidRPr="0005470D">
        <w:t xml:space="preserve"> with accrued interest </w:t>
      </w:r>
      <w:r w:rsidR="004426CD">
        <w:t xml:space="preserve">to date </w:t>
      </w:r>
      <w:r w:rsidR="00E51826">
        <w:t xml:space="preserve">of </w:t>
      </w:r>
      <w:r w:rsidR="00E51826" w:rsidRPr="005756F5">
        <w:t>approximately</w:t>
      </w:r>
      <w:r w:rsidR="00830665" w:rsidRPr="005756F5">
        <w:t xml:space="preserve"> £</w:t>
      </w:r>
      <w:r w:rsidR="0035713C">
        <w:t>2.3</w:t>
      </w:r>
      <w:r w:rsidR="005756F5" w:rsidRPr="005756F5">
        <w:t xml:space="preserve"> million</w:t>
      </w:r>
      <w:r w:rsidR="00830665" w:rsidRPr="005756F5">
        <w:t xml:space="preserve"> </w:t>
      </w:r>
      <w:r w:rsidR="005756F5" w:rsidRPr="005756F5">
        <w:t>with</w:t>
      </w:r>
      <w:r w:rsidR="005756F5">
        <w:t xml:space="preserve"> another £</w:t>
      </w:r>
      <w:r w:rsidR="0035713C">
        <w:t>3</w:t>
      </w:r>
      <w:r w:rsidR="005756F5">
        <w:t>.</w:t>
      </w:r>
      <w:r w:rsidR="0035713C">
        <w:t>9</w:t>
      </w:r>
      <w:r w:rsidR="004426CD">
        <w:t xml:space="preserve"> </w:t>
      </w:r>
      <w:r w:rsidR="005756F5">
        <w:t>over the next 4 years.</w:t>
      </w:r>
      <w:r w:rsidRPr="0005470D">
        <w:t xml:space="preserve"> In addition</w:t>
      </w:r>
      <w:r w:rsidRPr="0005470D">
        <w:rPr>
          <w:lang w:val="en-GB"/>
        </w:rPr>
        <w:t xml:space="preserve">, </w:t>
      </w:r>
      <w:r w:rsidRPr="0005470D">
        <w:t xml:space="preserve">loans have also been approved to fund working capital of £150k up to March 2018. Nuffield College has matched the loans given by the Council. </w:t>
      </w:r>
    </w:p>
    <w:p w:rsidR="00214432" w:rsidRPr="00000222" w:rsidRDefault="00214432" w:rsidP="001F46D8">
      <w:pPr>
        <w:pStyle w:val="Default"/>
        <w:ind w:left="709" w:right="386" w:hanging="709"/>
        <w:rPr>
          <w:highlight w:val="yellow"/>
        </w:rPr>
      </w:pPr>
    </w:p>
    <w:p w:rsidR="00214432" w:rsidRPr="00EC1FBF" w:rsidRDefault="00214432" w:rsidP="007E34DD">
      <w:pPr>
        <w:pStyle w:val="ListParagraph"/>
        <w:numPr>
          <w:ilvl w:val="0"/>
          <w:numId w:val="55"/>
        </w:numPr>
        <w:tabs>
          <w:tab w:val="left" w:pos="1276"/>
        </w:tabs>
        <w:ind w:left="709" w:right="386" w:hanging="709"/>
        <w:jc w:val="both"/>
        <w:rPr>
          <w:rFonts w:cs="Arial"/>
          <w:b/>
        </w:rPr>
      </w:pPr>
      <w:r w:rsidRPr="00EC1FBF">
        <w:rPr>
          <w:rFonts w:cs="Arial"/>
        </w:rPr>
        <w:t>Oxwed is currently</w:t>
      </w:r>
      <w:r w:rsidR="004426CD">
        <w:rPr>
          <w:rFonts w:cs="Arial"/>
        </w:rPr>
        <w:t xml:space="preserve"> in the process of developing a master plan together with a procurement strategy in order to determine how the site is tak</w:t>
      </w:r>
      <w:r w:rsidR="00076FD9">
        <w:rPr>
          <w:rFonts w:cs="Arial"/>
        </w:rPr>
        <w:t>en</w:t>
      </w:r>
      <w:r w:rsidR="004426CD">
        <w:rPr>
          <w:rFonts w:cs="Arial"/>
        </w:rPr>
        <w:t xml:space="preserve"> forward for planning approval. A further report </w:t>
      </w:r>
      <w:r w:rsidR="003F1BF1">
        <w:rPr>
          <w:rFonts w:cs="Arial"/>
        </w:rPr>
        <w:t xml:space="preserve">is expected to </w:t>
      </w:r>
      <w:r w:rsidR="004426CD">
        <w:rPr>
          <w:rFonts w:cs="Arial"/>
        </w:rPr>
        <w:t>come to Cabinet in February 2021.</w:t>
      </w:r>
      <w:r w:rsidRPr="00EC1FBF">
        <w:rPr>
          <w:rFonts w:cs="Arial"/>
        </w:rPr>
        <w:t xml:space="preserve"> </w:t>
      </w:r>
      <w:r w:rsidR="00262853" w:rsidRPr="00EC1FBF">
        <w:rPr>
          <w:rFonts w:cs="Arial"/>
        </w:rPr>
        <w:t xml:space="preserve">Given </w:t>
      </w:r>
      <w:r w:rsidR="0005470D" w:rsidRPr="00EC1FBF">
        <w:rPr>
          <w:rFonts w:cs="Arial"/>
        </w:rPr>
        <w:t>the uncertainty o</w:t>
      </w:r>
      <w:r w:rsidR="00076FD9">
        <w:rPr>
          <w:rFonts w:cs="Arial"/>
        </w:rPr>
        <w:t>f</w:t>
      </w:r>
      <w:r w:rsidR="0005470D" w:rsidRPr="00EC1FBF">
        <w:rPr>
          <w:rFonts w:cs="Arial"/>
        </w:rPr>
        <w:t xml:space="preserve"> the overall </w:t>
      </w:r>
      <w:r w:rsidR="00D93703" w:rsidRPr="00EC1FBF">
        <w:rPr>
          <w:rFonts w:cs="Arial"/>
        </w:rPr>
        <w:t>return</w:t>
      </w:r>
      <w:r w:rsidR="00BD2F96">
        <w:rPr>
          <w:rFonts w:cs="Arial"/>
        </w:rPr>
        <w:t xml:space="preserve"> to the C</w:t>
      </w:r>
      <w:r w:rsidR="0005470D" w:rsidRPr="00EC1FBF">
        <w:rPr>
          <w:rFonts w:cs="Arial"/>
        </w:rPr>
        <w:t xml:space="preserve">ouncil from the development </w:t>
      </w:r>
      <w:r w:rsidR="00262853" w:rsidRPr="00EC1FBF">
        <w:rPr>
          <w:rFonts w:cs="Arial"/>
        </w:rPr>
        <w:t xml:space="preserve">no </w:t>
      </w:r>
      <w:r w:rsidR="00EC1FBF" w:rsidRPr="00EC1FBF">
        <w:rPr>
          <w:rFonts w:cs="Arial"/>
        </w:rPr>
        <w:t>addi</w:t>
      </w:r>
      <w:r w:rsidR="0005470D" w:rsidRPr="00EC1FBF">
        <w:rPr>
          <w:rFonts w:cs="Arial"/>
        </w:rPr>
        <w:t>t</w:t>
      </w:r>
      <w:r w:rsidR="00EC1FBF" w:rsidRPr="00EC1FBF">
        <w:rPr>
          <w:rFonts w:cs="Arial"/>
        </w:rPr>
        <w:t>io</w:t>
      </w:r>
      <w:r w:rsidR="0005470D" w:rsidRPr="00EC1FBF">
        <w:rPr>
          <w:rFonts w:cs="Arial"/>
        </w:rPr>
        <w:t xml:space="preserve">nal sums </w:t>
      </w:r>
      <w:r w:rsidR="00262853" w:rsidRPr="00EC1FBF">
        <w:rPr>
          <w:rFonts w:cs="Arial"/>
        </w:rPr>
        <w:t>other than accrued loan interest ha</w:t>
      </w:r>
      <w:r w:rsidR="00076FD9">
        <w:rPr>
          <w:rFonts w:cs="Arial"/>
        </w:rPr>
        <w:t>ve</w:t>
      </w:r>
      <w:r w:rsidR="00262853" w:rsidRPr="00EC1FBF">
        <w:rPr>
          <w:rFonts w:cs="Arial"/>
        </w:rPr>
        <w:t xml:space="preserve"> be</w:t>
      </w:r>
      <w:r w:rsidR="00603CCF">
        <w:rPr>
          <w:rFonts w:cs="Arial"/>
        </w:rPr>
        <w:t>en included in the Council</w:t>
      </w:r>
      <w:r w:rsidR="00076FD9">
        <w:rPr>
          <w:rFonts w:cs="Arial"/>
        </w:rPr>
        <w:t>’</w:t>
      </w:r>
      <w:r w:rsidR="00603CCF">
        <w:rPr>
          <w:rFonts w:cs="Arial"/>
        </w:rPr>
        <w:t>s MTF</w:t>
      </w:r>
      <w:r w:rsidR="001156ED">
        <w:rPr>
          <w:rFonts w:cs="Arial"/>
        </w:rPr>
        <w:t>S</w:t>
      </w:r>
      <w:r w:rsidR="00262853" w:rsidRPr="00EC1FBF">
        <w:rPr>
          <w:rFonts w:cs="Arial"/>
        </w:rPr>
        <w:t>.</w:t>
      </w:r>
    </w:p>
    <w:p w:rsidR="00447C29" w:rsidRPr="00000222" w:rsidRDefault="00447C29" w:rsidP="001567C0">
      <w:pPr>
        <w:ind w:left="567" w:right="386" w:hanging="567"/>
        <w:rPr>
          <w:sz w:val="22"/>
          <w:szCs w:val="22"/>
          <w:highlight w:val="yellow"/>
        </w:rPr>
      </w:pPr>
    </w:p>
    <w:p w:rsidR="001A3FC4" w:rsidRPr="007E2569" w:rsidRDefault="001A3FC4" w:rsidP="001A3FC4">
      <w:pPr>
        <w:ind w:left="851" w:right="386"/>
        <w:rPr>
          <w:sz w:val="22"/>
          <w:szCs w:val="22"/>
        </w:rPr>
      </w:pPr>
    </w:p>
    <w:p w:rsidR="00CB1092" w:rsidRPr="007E2569" w:rsidRDefault="00CB1092" w:rsidP="00CB1092">
      <w:pPr>
        <w:autoSpaceDE w:val="0"/>
        <w:autoSpaceDN w:val="0"/>
        <w:adjustRightInd w:val="0"/>
        <w:ind w:right="380"/>
        <w:jc w:val="both"/>
        <w:rPr>
          <w:rFonts w:cs="Arial"/>
          <w:b/>
          <w:sz w:val="28"/>
          <w:szCs w:val="28"/>
        </w:rPr>
      </w:pPr>
      <w:r w:rsidRPr="007E2569">
        <w:rPr>
          <w:rFonts w:cs="Arial"/>
          <w:b/>
          <w:sz w:val="28"/>
          <w:szCs w:val="28"/>
        </w:rPr>
        <w:t>Section C Housing Revenue Account Budget</w:t>
      </w:r>
    </w:p>
    <w:p w:rsidR="00CB1092" w:rsidRPr="007E2569" w:rsidRDefault="00CB1092" w:rsidP="00CB1092">
      <w:pPr>
        <w:autoSpaceDE w:val="0"/>
        <w:autoSpaceDN w:val="0"/>
        <w:adjustRightInd w:val="0"/>
        <w:ind w:right="380"/>
        <w:rPr>
          <w:rFonts w:cs="Arial"/>
        </w:rPr>
      </w:pPr>
    </w:p>
    <w:p w:rsidR="00CB1092" w:rsidRPr="007E2569" w:rsidRDefault="00CB1092" w:rsidP="001567C0">
      <w:pPr>
        <w:autoSpaceDE w:val="0"/>
        <w:autoSpaceDN w:val="0"/>
        <w:adjustRightInd w:val="0"/>
        <w:ind w:right="380"/>
        <w:jc w:val="both"/>
        <w:rPr>
          <w:rFonts w:cs="Arial"/>
          <w:b/>
        </w:rPr>
      </w:pPr>
      <w:r w:rsidRPr="007E2569">
        <w:rPr>
          <w:rFonts w:cs="Arial"/>
          <w:b/>
        </w:rPr>
        <w:t>Background</w:t>
      </w:r>
    </w:p>
    <w:p w:rsidR="001567C0" w:rsidRPr="007E2569" w:rsidRDefault="001567C0" w:rsidP="001567C0">
      <w:pPr>
        <w:autoSpaceDE w:val="0"/>
        <w:autoSpaceDN w:val="0"/>
        <w:adjustRightInd w:val="0"/>
        <w:ind w:right="380"/>
        <w:jc w:val="both"/>
        <w:rPr>
          <w:rFonts w:cs="Arial"/>
          <w:b/>
        </w:rPr>
      </w:pPr>
    </w:p>
    <w:p w:rsidR="00074F35" w:rsidRPr="007E2569" w:rsidRDefault="00C65999" w:rsidP="007E34DD">
      <w:pPr>
        <w:pStyle w:val="Heading1"/>
        <w:numPr>
          <w:ilvl w:val="0"/>
          <w:numId w:val="55"/>
        </w:numPr>
        <w:ind w:left="709" w:hanging="709"/>
        <w:rPr>
          <w:b w:val="0"/>
        </w:rPr>
      </w:pPr>
      <w:r w:rsidRPr="007E2569">
        <w:rPr>
          <w:b w:val="0"/>
        </w:rPr>
        <w:t xml:space="preserve">Up until October 2018 the HRA was subject to a debt cap which for </w:t>
      </w:r>
      <w:r w:rsidR="00D31F40" w:rsidRPr="007E2569">
        <w:rPr>
          <w:b w:val="0"/>
        </w:rPr>
        <w:t xml:space="preserve">the </w:t>
      </w:r>
      <w:r w:rsidRPr="007E2569">
        <w:rPr>
          <w:b w:val="0"/>
        </w:rPr>
        <w:t xml:space="preserve">Council had been calculated as £240 million. </w:t>
      </w:r>
      <w:r w:rsidR="00074F35" w:rsidRPr="007E2569">
        <w:rPr>
          <w:b w:val="0"/>
        </w:rPr>
        <w:t xml:space="preserve">Together with the self-financing loan of £198 million and other borrowing to finance capital spend this debt cap had already been reached effectively </w:t>
      </w:r>
      <w:r w:rsidRPr="007E2569">
        <w:rPr>
          <w:b w:val="0"/>
        </w:rPr>
        <w:t>restrict</w:t>
      </w:r>
      <w:r w:rsidR="00074F35" w:rsidRPr="007E2569">
        <w:rPr>
          <w:b w:val="0"/>
        </w:rPr>
        <w:t>ing</w:t>
      </w:r>
      <w:r w:rsidRPr="007E2569">
        <w:rPr>
          <w:b w:val="0"/>
        </w:rPr>
        <w:t xml:space="preserve"> the ability of the HRA to engage with the new </w:t>
      </w:r>
      <w:r w:rsidR="00D31F40" w:rsidRPr="007E2569">
        <w:rPr>
          <w:b w:val="0"/>
        </w:rPr>
        <w:t xml:space="preserve">house </w:t>
      </w:r>
      <w:r w:rsidRPr="007E2569">
        <w:rPr>
          <w:b w:val="0"/>
        </w:rPr>
        <w:t>build</w:t>
      </w:r>
      <w:r w:rsidR="00076FD9">
        <w:rPr>
          <w:b w:val="0"/>
        </w:rPr>
        <w:t>ing</w:t>
      </w:r>
      <w:r w:rsidRPr="007E2569">
        <w:rPr>
          <w:b w:val="0"/>
        </w:rPr>
        <w:t xml:space="preserve"> agenda and result</w:t>
      </w:r>
      <w:r w:rsidR="00074F35" w:rsidRPr="007E2569">
        <w:rPr>
          <w:b w:val="0"/>
        </w:rPr>
        <w:t>ing</w:t>
      </w:r>
      <w:r w:rsidRPr="007E2569">
        <w:rPr>
          <w:b w:val="0"/>
        </w:rPr>
        <w:t xml:space="preserve"> in the Council establishing its Housing Development Company. </w:t>
      </w:r>
    </w:p>
    <w:p w:rsidR="00223741" w:rsidRPr="007E2569" w:rsidRDefault="00223741" w:rsidP="00DA542F">
      <w:pPr>
        <w:ind w:left="709" w:hanging="720"/>
      </w:pPr>
    </w:p>
    <w:p w:rsidR="001E27C6" w:rsidRPr="007E2569" w:rsidRDefault="00074F35" w:rsidP="007E34DD">
      <w:pPr>
        <w:pStyle w:val="Heading1"/>
        <w:numPr>
          <w:ilvl w:val="0"/>
          <w:numId w:val="55"/>
        </w:numPr>
        <w:ind w:left="709" w:hanging="709"/>
        <w:rPr>
          <w:b w:val="0"/>
        </w:rPr>
      </w:pPr>
      <w:r w:rsidRPr="007E2569">
        <w:rPr>
          <w:b w:val="0"/>
        </w:rPr>
        <w:lastRenderedPageBreak/>
        <w:t>In</w:t>
      </w:r>
      <w:r w:rsidR="00C65999" w:rsidRPr="007E2569">
        <w:rPr>
          <w:b w:val="0"/>
        </w:rPr>
        <w:t xml:space="preserve"> October </w:t>
      </w:r>
      <w:r w:rsidRPr="007E2569">
        <w:rPr>
          <w:b w:val="0"/>
        </w:rPr>
        <w:t xml:space="preserve">2018 the Government removed the debt cap enabling the HRA to borrow to finance capital expenditure providing it was affordable and prudent. </w:t>
      </w:r>
    </w:p>
    <w:p w:rsidR="005F15AB" w:rsidRPr="007E2569" w:rsidRDefault="005F15AB" w:rsidP="0045662E">
      <w:pPr>
        <w:ind w:left="709" w:hanging="709"/>
        <w:rPr>
          <w:rFonts w:eastAsia="Calibri" w:cs="Arial"/>
        </w:rPr>
      </w:pPr>
    </w:p>
    <w:p w:rsidR="00074F35" w:rsidRPr="007E2569" w:rsidRDefault="003362DC" w:rsidP="007E34DD">
      <w:pPr>
        <w:pStyle w:val="ListParagraph"/>
        <w:numPr>
          <w:ilvl w:val="0"/>
          <w:numId w:val="55"/>
        </w:numPr>
        <w:ind w:left="709" w:hanging="709"/>
        <w:rPr>
          <w:rFonts w:eastAsia="Calibri" w:cs="Arial"/>
        </w:rPr>
      </w:pPr>
      <w:r w:rsidRPr="007E2569">
        <w:rPr>
          <w:rFonts w:eastAsia="Calibri" w:cs="Arial"/>
        </w:rPr>
        <w:t xml:space="preserve">The recent acceleration of new build housing in the Housing Company agreed by the shareholder in November 2019 provides a steady stream of social and shared ownership housing for the HRA </w:t>
      </w:r>
      <w:r w:rsidR="00D31F40" w:rsidRPr="007E2569">
        <w:rPr>
          <w:rFonts w:eastAsia="Calibri" w:cs="Arial"/>
        </w:rPr>
        <w:t xml:space="preserve">to </w:t>
      </w:r>
      <w:r w:rsidRPr="007E2569">
        <w:rPr>
          <w:rFonts w:eastAsia="Calibri" w:cs="Arial"/>
        </w:rPr>
        <w:t xml:space="preserve">buy </w:t>
      </w:r>
      <w:r w:rsidR="00D31F40" w:rsidRPr="007E2569">
        <w:rPr>
          <w:rFonts w:eastAsia="Calibri" w:cs="Arial"/>
        </w:rPr>
        <w:t>1,</w:t>
      </w:r>
      <w:r w:rsidR="001363F9" w:rsidRPr="007E2569">
        <w:rPr>
          <w:rFonts w:eastAsia="Calibri" w:cs="Arial"/>
        </w:rPr>
        <w:t>119</w:t>
      </w:r>
      <w:r w:rsidRPr="007E2569">
        <w:rPr>
          <w:rFonts w:eastAsia="Calibri" w:cs="Arial"/>
        </w:rPr>
        <w:t xml:space="preserve"> houses over the next 10 year period at an estimated </w:t>
      </w:r>
      <w:r w:rsidR="00450309" w:rsidRPr="007E2569">
        <w:rPr>
          <w:rFonts w:eastAsia="Calibri" w:cs="Arial"/>
        </w:rPr>
        <w:t xml:space="preserve">gross </w:t>
      </w:r>
      <w:r w:rsidRPr="007E2569">
        <w:rPr>
          <w:rFonts w:eastAsia="Calibri" w:cs="Arial"/>
        </w:rPr>
        <w:t>cost of around £</w:t>
      </w:r>
      <w:r w:rsidR="00450309" w:rsidRPr="007E2569">
        <w:rPr>
          <w:rFonts w:eastAsia="Calibri" w:cs="Arial"/>
        </w:rPr>
        <w:t>3</w:t>
      </w:r>
      <w:r w:rsidR="007E2569" w:rsidRPr="007E2569">
        <w:rPr>
          <w:rFonts w:eastAsia="Calibri" w:cs="Arial"/>
        </w:rPr>
        <w:t>93</w:t>
      </w:r>
      <w:r w:rsidR="007E2569">
        <w:rPr>
          <w:rFonts w:eastAsia="Calibri" w:cs="Arial"/>
        </w:rPr>
        <w:t xml:space="preserve"> million with peak debt at £5</w:t>
      </w:r>
      <w:r w:rsidR="00201100">
        <w:rPr>
          <w:rFonts w:eastAsia="Calibri" w:cs="Arial"/>
        </w:rPr>
        <w:t>5</w:t>
      </w:r>
      <w:r w:rsidR="007E2569">
        <w:rPr>
          <w:rFonts w:eastAsia="Calibri" w:cs="Arial"/>
        </w:rPr>
        <w:t xml:space="preserve">3 million. </w:t>
      </w:r>
    </w:p>
    <w:p w:rsidR="00565B38" w:rsidRPr="00000222" w:rsidRDefault="00565B38" w:rsidP="0045662E">
      <w:pPr>
        <w:ind w:left="709" w:hanging="709"/>
        <w:rPr>
          <w:rFonts w:eastAsia="Calibri" w:cs="Arial"/>
          <w:highlight w:val="yellow"/>
        </w:rPr>
      </w:pPr>
    </w:p>
    <w:p w:rsidR="00565B38" w:rsidRPr="005D3B69" w:rsidRDefault="00565B38" w:rsidP="0045662E">
      <w:pPr>
        <w:ind w:left="709" w:hanging="709"/>
        <w:rPr>
          <w:rFonts w:eastAsia="Calibri" w:cs="Arial"/>
          <w:b/>
        </w:rPr>
      </w:pPr>
      <w:r w:rsidRPr="005D3B69">
        <w:rPr>
          <w:rFonts w:eastAsia="Calibri" w:cs="Arial"/>
          <w:b/>
        </w:rPr>
        <w:t xml:space="preserve">Financial </w:t>
      </w:r>
      <w:r w:rsidR="004C7192" w:rsidRPr="005D3B69">
        <w:rPr>
          <w:rFonts w:eastAsia="Calibri" w:cs="Arial"/>
          <w:b/>
        </w:rPr>
        <w:t>Viability</w:t>
      </w:r>
      <w:r w:rsidRPr="005D3B69">
        <w:rPr>
          <w:rFonts w:eastAsia="Calibri" w:cs="Arial"/>
          <w:b/>
        </w:rPr>
        <w:t xml:space="preserve"> and Debt Refinancing</w:t>
      </w:r>
    </w:p>
    <w:p w:rsidR="003362DC" w:rsidRPr="005D3B69" w:rsidRDefault="003362DC" w:rsidP="0045662E">
      <w:pPr>
        <w:ind w:left="709" w:hanging="709"/>
        <w:rPr>
          <w:rFonts w:eastAsia="Calibri" w:cs="Arial"/>
        </w:rPr>
      </w:pPr>
    </w:p>
    <w:p w:rsidR="003362DC" w:rsidRPr="005D3B69" w:rsidRDefault="003362DC" w:rsidP="007E34DD">
      <w:pPr>
        <w:pStyle w:val="ListParagraph"/>
        <w:numPr>
          <w:ilvl w:val="0"/>
          <w:numId w:val="55"/>
        </w:numPr>
        <w:ind w:left="709" w:hanging="709"/>
        <w:rPr>
          <w:rFonts w:eastAsia="Calibri" w:cs="Arial"/>
        </w:rPr>
      </w:pPr>
      <w:r w:rsidRPr="005D3B69">
        <w:rPr>
          <w:rFonts w:eastAsia="Calibri" w:cs="Arial"/>
        </w:rPr>
        <w:t xml:space="preserve">The financial viability of housing </w:t>
      </w:r>
      <w:r w:rsidR="004C7192" w:rsidRPr="005D3B69">
        <w:rPr>
          <w:rFonts w:eastAsia="Calibri" w:cs="Arial"/>
        </w:rPr>
        <w:t>scheme</w:t>
      </w:r>
      <w:r w:rsidRPr="005D3B69">
        <w:rPr>
          <w:rFonts w:eastAsia="Calibri" w:cs="Arial"/>
        </w:rPr>
        <w:t xml:space="preserve"> purchases has </w:t>
      </w:r>
      <w:r w:rsidR="004C7192" w:rsidRPr="005D3B69">
        <w:rPr>
          <w:rFonts w:eastAsia="Calibri" w:cs="Arial"/>
        </w:rPr>
        <w:t>been</w:t>
      </w:r>
      <w:r w:rsidRPr="005D3B69">
        <w:rPr>
          <w:rFonts w:eastAsia="Calibri" w:cs="Arial"/>
        </w:rPr>
        <w:t xml:space="preserve"> set </w:t>
      </w:r>
      <w:r w:rsidR="00D31F40" w:rsidRPr="005D3B69">
        <w:rPr>
          <w:rFonts w:eastAsia="Calibri" w:cs="Arial"/>
        </w:rPr>
        <w:t>by the Council</w:t>
      </w:r>
      <w:r w:rsidR="00812057" w:rsidRPr="005D3B69">
        <w:rPr>
          <w:rFonts w:eastAsia="Calibri" w:cs="Arial"/>
        </w:rPr>
        <w:t>’</w:t>
      </w:r>
      <w:r w:rsidR="00D31F40" w:rsidRPr="005D3B69">
        <w:rPr>
          <w:rFonts w:eastAsia="Calibri" w:cs="Arial"/>
        </w:rPr>
        <w:t xml:space="preserve">s Chief Financial Officer </w:t>
      </w:r>
      <w:r w:rsidR="004C7192" w:rsidRPr="005D3B69">
        <w:rPr>
          <w:rFonts w:eastAsia="Calibri" w:cs="Arial"/>
        </w:rPr>
        <w:t>as:</w:t>
      </w:r>
    </w:p>
    <w:p w:rsidR="001F46D8" w:rsidRPr="005D3B69" w:rsidRDefault="001F46D8" w:rsidP="0045662E">
      <w:pPr>
        <w:ind w:left="709" w:hanging="709"/>
        <w:rPr>
          <w:rFonts w:eastAsia="Calibri" w:cs="Arial"/>
        </w:rPr>
      </w:pPr>
    </w:p>
    <w:p w:rsidR="003362DC" w:rsidRPr="005D3B69" w:rsidRDefault="003362DC" w:rsidP="007E34DD">
      <w:pPr>
        <w:pStyle w:val="ListParagraph"/>
        <w:numPr>
          <w:ilvl w:val="0"/>
          <w:numId w:val="24"/>
        </w:numPr>
        <w:ind w:left="1134" w:firstLine="142"/>
        <w:rPr>
          <w:rFonts w:eastAsia="Calibri" w:cs="Arial"/>
        </w:rPr>
      </w:pPr>
      <w:r w:rsidRPr="005D3B69">
        <w:rPr>
          <w:rFonts w:eastAsia="Calibri" w:cs="Arial"/>
        </w:rPr>
        <w:t xml:space="preserve">Net present value </w:t>
      </w:r>
      <w:r w:rsidR="003960A7" w:rsidRPr="005D3B69">
        <w:rPr>
          <w:rFonts w:eastAsia="Calibri" w:cs="Arial"/>
        </w:rPr>
        <w:t>(NPV)</w:t>
      </w:r>
      <w:r w:rsidRPr="005D3B69">
        <w:rPr>
          <w:rFonts w:eastAsia="Calibri" w:cs="Arial"/>
        </w:rPr>
        <w:t xml:space="preserve">– positive over a </w:t>
      </w:r>
      <w:r w:rsidR="004673C0" w:rsidRPr="005D3B69">
        <w:rPr>
          <w:rFonts w:eastAsia="Calibri" w:cs="Arial"/>
        </w:rPr>
        <w:t>7</w:t>
      </w:r>
      <w:r w:rsidRPr="005D3B69">
        <w:rPr>
          <w:rFonts w:eastAsia="Calibri" w:cs="Arial"/>
        </w:rPr>
        <w:t>0 year period</w:t>
      </w:r>
    </w:p>
    <w:p w:rsidR="003362DC" w:rsidRPr="005D3B69" w:rsidRDefault="003362DC" w:rsidP="007E34DD">
      <w:pPr>
        <w:pStyle w:val="ListParagraph"/>
        <w:numPr>
          <w:ilvl w:val="0"/>
          <w:numId w:val="24"/>
        </w:numPr>
        <w:ind w:left="1134" w:firstLine="142"/>
        <w:rPr>
          <w:rFonts w:eastAsia="Calibri" w:cs="Arial"/>
        </w:rPr>
      </w:pPr>
      <w:r w:rsidRPr="005D3B69">
        <w:rPr>
          <w:rFonts w:eastAsia="Calibri" w:cs="Arial"/>
        </w:rPr>
        <w:t xml:space="preserve">Payback </w:t>
      </w:r>
      <w:r w:rsidR="004673C0" w:rsidRPr="005D3B69">
        <w:rPr>
          <w:rFonts w:eastAsia="Calibri" w:cs="Arial"/>
        </w:rPr>
        <w:t>–</w:t>
      </w:r>
      <w:r w:rsidRPr="005D3B69">
        <w:rPr>
          <w:rFonts w:eastAsia="Calibri" w:cs="Arial"/>
        </w:rPr>
        <w:t xml:space="preserve"> </w:t>
      </w:r>
      <w:r w:rsidR="004673C0" w:rsidRPr="005D3B69">
        <w:rPr>
          <w:rFonts w:eastAsia="Calibri" w:cs="Arial"/>
        </w:rPr>
        <w:t>70 years or under</w:t>
      </w:r>
    </w:p>
    <w:p w:rsidR="003362DC" w:rsidRPr="005D3B69" w:rsidRDefault="003362DC" w:rsidP="007E34DD">
      <w:pPr>
        <w:pStyle w:val="ListParagraph"/>
        <w:numPr>
          <w:ilvl w:val="0"/>
          <w:numId w:val="24"/>
        </w:numPr>
        <w:ind w:left="2127" w:hanging="851"/>
        <w:rPr>
          <w:rFonts w:eastAsia="Calibri" w:cs="Arial"/>
        </w:rPr>
      </w:pPr>
      <w:r w:rsidRPr="005D3B69">
        <w:rPr>
          <w:rFonts w:eastAsia="Calibri" w:cs="Arial"/>
        </w:rPr>
        <w:t xml:space="preserve">Internal rate of return </w:t>
      </w:r>
      <w:r w:rsidR="003960A7" w:rsidRPr="005D3B69">
        <w:rPr>
          <w:rFonts w:eastAsia="Calibri" w:cs="Arial"/>
        </w:rPr>
        <w:t>IRR -</w:t>
      </w:r>
      <w:r w:rsidRPr="005D3B69">
        <w:rPr>
          <w:rFonts w:eastAsia="Calibri" w:cs="Arial"/>
        </w:rPr>
        <w:t>(the discount rate which equates the N</w:t>
      </w:r>
      <w:r w:rsidR="00D31F40" w:rsidRPr="005D3B69">
        <w:rPr>
          <w:rFonts w:eastAsia="Calibri" w:cs="Arial"/>
        </w:rPr>
        <w:t xml:space="preserve">et </w:t>
      </w:r>
      <w:r w:rsidRPr="005D3B69">
        <w:rPr>
          <w:rFonts w:eastAsia="Calibri" w:cs="Arial"/>
        </w:rPr>
        <w:t>P</w:t>
      </w:r>
      <w:r w:rsidR="00D31F40" w:rsidRPr="005D3B69">
        <w:rPr>
          <w:rFonts w:eastAsia="Calibri" w:cs="Arial"/>
        </w:rPr>
        <w:t xml:space="preserve">resent </w:t>
      </w:r>
      <w:r w:rsidRPr="005D3B69">
        <w:rPr>
          <w:rFonts w:eastAsia="Calibri" w:cs="Arial"/>
        </w:rPr>
        <w:t>V</w:t>
      </w:r>
      <w:r w:rsidR="00D31F40" w:rsidRPr="005D3B69">
        <w:rPr>
          <w:rFonts w:eastAsia="Calibri" w:cs="Arial"/>
        </w:rPr>
        <w:t>alue</w:t>
      </w:r>
      <w:r w:rsidRPr="005D3B69">
        <w:rPr>
          <w:rFonts w:eastAsia="Calibri" w:cs="Arial"/>
        </w:rPr>
        <w:t xml:space="preserve"> to zero) of 3%</w:t>
      </w:r>
    </w:p>
    <w:p w:rsidR="003362DC" w:rsidRPr="005D3B69" w:rsidRDefault="003362DC" w:rsidP="001567C0">
      <w:pPr>
        <w:rPr>
          <w:rFonts w:eastAsia="Calibri" w:cs="Arial"/>
        </w:rPr>
      </w:pPr>
    </w:p>
    <w:p w:rsidR="005D36C9" w:rsidRPr="005D3B69" w:rsidRDefault="003362DC" w:rsidP="007E34DD">
      <w:pPr>
        <w:pStyle w:val="ListParagraph"/>
        <w:numPr>
          <w:ilvl w:val="0"/>
          <w:numId w:val="55"/>
        </w:numPr>
        <w:ind w:left="709" w:hanging="709"/>
        <w:rPr>
          <w:rFonts w:eastAsia="Calibri" w:cs="Arial"/>
        </w:rPr>
      </w:pPr>
      <w:r w:rsidRPr="005D3B69">
        <w:rPr>
          <w:rFonts w:eastAsia="Calibri" w:cs="Arial"/>
        </w:rPr>
        <w:t>Th</w:t>
      </w:r>
      <w:r w:rsidR="005D36C9" w:rsidRPr="005D3B69">
        <w:rPr>
          <w:rFonts w:eastAsia="Calibri" w:cs="Arial"/>
        </w:rPr>
        <w:t xml:space="preserve">ese criteria are comparable to the Housing Company of </w:t>
      </w:r>
      <w:r w:rsidR="003960A7" w:rsidRPr="005D3B69">
        <w:rPr>
          <w:rFonts w:eastAsia="Calibri" w:cs="Arial"/>
        </w:rPr>
        <w:t xml:space="preserve">a </w:t>
      </w:r>
      <w:r w:rsidR="005D36C9" w:rsidRPr="005D3B69">
        <w:rPr>
          <w:rFonts w:eastAsia="Calibri" w:cs="Arial"/>
        </w:rPr>
        <w:t>positive</w:t>
      </w:r>
      <w:r w:rsidR="003960A7" w:rsidRPr="005D3B69">
        <w:rPr>
          <w:rFonts w:eastAsia="Calibri" w:cs="Arial"/>
        </w:rPr>
        <w:t xml:space="preserve"> NPV over 40 years</w:t>
      </w:r>
      <w:r w:rsidR="005D36C9" w:rsidRPr="005D3B69">
        <w:rPr>
          <w:rFonts w:eastAsia="Calibri" w:cs="Arial"/>
        </w:rPr>
        <w:t>, 40 year</w:t>
      </w:r>
      <w:r w:rsidR="003960A7" w:rsidRPr="005D3B69">
        <w:rPr>
          <w:rFonts w:eastAsia="Calibri" w:cs="Arial"/>
        </w:rPr>
        <w:t xml:space="preserve"> payback</w:t>
      </w:r>
      <w:r w:rsidR="005D36C9" w:rsidRPr="005D3B69">
        <w:rPr>
          <w:rFonts w:eastAsia="Calibri" w:cs="Arial"/>
        </w:rPr>
        <w:t xml:space="preserve"> and 4%</w:t>
      </w:r>
      <w:r w:rsidR="003960A7" w:rsidRPr="005D3B69">
        <w:rPr>
          <w:rFonts w:eastAsia="Calibri" w:cs="Arial"/>
        </w:rPr>
        <w:t xml:space="preserve"> IRR</w:t>
      </w:r>
      <w:r w:rsidR="005D36C9" w:rsidRPr="005D3B69">
        <w:rPr>
          <w:rFonts w:eastAsia="Calibri" w:cs="Arial"/>
        </w:rPr>
        <w:t xml:space="preserve">. The HRA criteria are less favourable to reflect the nature of the social dwellings being purchased. </w:t>
      </w:r>
      <w:r w:rsidRPr="005D3B69">
        <w:rPr>
          <w:rFonts w:eastAsia="Calibri" w:cs="Arial"/>
        </w:rPr>
        <w:t xml:space="preserve"> </w:t>
      </w:r>
    </w:p>
    <w:p w:rsidR="003362DC" w:rsidRPr="00000222" w:rsidRDefault="003362DC" w:rsidP="0045662E">
      <w:pPr>
        <w:ind w:left="709" w:hanging="709"/>
        <w:rPr>
          <w:rFonts w:eastAsia="Calibri" w:cs="Arial"/>
          <w:highlight w:val="yellow"/>
        </w:rPr>
      </w:pPr>
    </w:p>
    <w:p w:rsidR="0091324C" w:rsidRDefault="009C73DC" w:rsidP="007E34DD">
      <w:pPr>
        <w:pStyle w:val="ListParagraph"/>
        <w:numPr>
          <w:ilvl w:val="0"/>
          <w:numId w:val="55"/>
        </w:numPr>
        <w:ind w:left="709" w:hanging="709"/>
        <w:rPr>
          <w:rFonts w:eastAsia="Calibri" w:cs="Arial"/>
        </w:rPr>
      </w:pPr>
      <w:r w:rsidRPr="004616CB">
        <w:rPr>
          <w:rFonts w:eastAsia="Calibri" w:cs="Arial"/>
        </w:rPr>
        <w:t xml:space="preserve">The purchasing of </w:t>
      </w:r>
      <w:r w:rsidR="005D36C9" w:rsidRPr="004616CB">
        <w:rPr>
          <w:rFonts w:eastAsia="Calibri" w:cs="Arial"/>
        </w:rPr>
        <w:t>the new build properties from OCHL over the ne</w:t>
      </w:r>
      <w:r w:rsidRPr="004616CB">
        <w:rPr>
          <w:rFonts w:eastAsia="Calibri" w:cs="Arial"/>
        </w:rPr>
        <w:t>xt 10 years is estimated to cost around £</w:t>
      </w:r>
      <w:r w:rsidR="004673C0" w:rsidRPr="004616CB">
        <w:rPr>
          <w:rFonts w:eastAsia="Calibri" w:cs="Arial"/>
        </w:rPr>
        <w:t>3</w:t>
      </w:r>
      <w:r w:rsidR="005D3B69" w:rsidRPr="004616CB">
        <w:rPr>
          <w:rFonts w:eastAsia="Calibri" w:cs="Arial"/>
        </w:rPr>
        <w:t>93</w:t>
      </w:r>
      <w:r w:rsidRPr="004616CB">
        <w:rPr>
          <w:rFonts w:eastAsia="Calibri" w:cs="Arial"/>
        </w:rPr>
        <w:t xml:space="preserve"> million. </w:t>
      </w:r>
      <w:r w:rsidR="0091324C">
        <w:rPr>
          <w:rFonts w:eastAsia="Calibri" w:cs="Arial"/>
        </w:rPr>
        <w:t>In a change to the current payment mechanism payments to Oxford City Housing Ltd for such housing developments will be made in stages as developments are built out.</w:t>
      </w:r>
      <w:r w:rsidR="001223D3">
        <w:rPr>
          <w:rFonts w:eastAsia="Calibri" w:cs="Arial"/>
        </w:rPr>
        <w:t xml:space="preserve"> </w:t>
      </w:r>
    </w:p>
    <w:p w:rsidR="0091324C" w:rsidRPr="0091324C" w:rsidRDefault="0091324C" w:rsidP="0045662E">
      <w:pPr>
        <w:pStyle w:val="ListParagraph"/>
        <w:ind w:left="709" w:hanging="709"/>
        <w:rPr>
          <w:rFonts w:eastAsia="Calibri" w:cs="Arial"/>
        </w:rPr>
      </w:pPr>
    </w:p>
    <w:p w:rsidR="00B00CF9" w:rsidRPr="004616CB" w:rsidRDefault="009C73DC" w:rsidP="007E34DD">
      <w:pPr>
        <w:pStyle w:val="ListParagraph"/>
        <w:numPr>
          <w:ilvl w:val="0"/>
          <w:numId w:val="55"/>
        </w:numPr>
        <w:ind w:left="709" w:hanging="709"/>
        <w:rPr>
          <w:rFonts w:eastAsia="Calibri" w:cs="Arial"/>
        </w:rPr>
      </w:pPr>
      <w:r w:rsidRPr="004616CB">
        <w:rPr>
          <w:rFonts w:eastAsia="Calibri" w:cs="Arial"/>
        </w:rPr>
        <w:t xml:space="preserve">Work has </w:t>
      </w:r>
      <w:r w:rsidR="0091324C">
        <w:rPr>
          <w:rFonts w:eastAsia="Calibri" w:cs="Arial"/>
        </w:rPr>
        <w:t xml:space="preserve">also </w:t>
      </w:r>
      <w:r w:rsidRPr="004616CB">
        <w:rPr>
          <w:rFonts w:eastAsia="Calibri" w:cs="Arial"/>
        </w:rPr>
        <w:t xml:space="preserve">been undertaken to accommodate </w:t>
      </w:r>
    </w:p>
    <w:p w:rsidR="00B00CF9" w:rsidRPr="00000222" w:rsidRDefault="00B00CF9" w:rsidP="0045662E">
      <w:pPr>
        <w:ind w:left="709" w:hanging="709"/>
        <w:rPr>
          <w:rFonts w:eastAsia="Calibri" w:cs="Arial"/>
          <w:highlight w:val="yellow"/>
        </w:rPr>
      </w:pPr>
    </w:p>
    <w:p w:rsidR="00B00CF9" w:rsidRPr="004616CB" w:rsidRDefault="00B00CF9" w:rsidP="007E34DD">
      <w:pPr>
        <w:pStyle w:val="ListParagraph"/>
        <w:numPr>
          <w:ilvl w:val="0"/>
          <w:numId w:val="25"/>
        </w:numPr>
        <w:ind w:left="1843" w:hanging="709"/>
        <w:rPr>
          <w:rFonts w:eastAsia="Calibri" w:cs="Arial"/>
        </w:rPr>
      </w:pPr>
      <w:r w:rsidRPr="004616CB">
        <w:rPr>
          <w:rFonts w:eastAsia="Calibri" w:cs="Arial"/>
        </w:rPr>
        <w:t xml:space="preserve">An increase in the level of HRA </w:t>
      </w:r>
      <w:r w:rsidR="009C73DC" w:rsidRPr="004616CB">
        <w:rPr>
          <w:rFonts w:eastAsia="Calibri" w:cs="Arial"/>
        </w:rPr>
        <w:t>debt</w:t>
      </w:r>
      <w:r w:rsidRPr="004616CB">
        <w:rPr>
          <w:rFonts w:eastAsia="Calibri" w:cs="Arial"/>
        </w:rPr>
        <w:t xml:space="preserve"> </w:t>
      </w:r>
      <w:r w:rsidR="00450309" w:rsidRPr="004616CB">
        <w:rPr>
          <w:rFonts w:eastAsia="Calibri" w:cs="Arial"/>
        </w:rPr>
        <w:t xml:space="preserve">for the new build acquisitions </w:t>
      </w:r>
      <w:r w:rsidR="00223741" w:rsidRPr="004616CB">
        <w:rPr>
          <w:rFonts w:eastAsia="Calibri" w:cs="Arial"/>
        </w:rPr>
        <w:t>by</w:t>
      </w:r>
      <w:r w:rsidRPr="004616CB">
        <w:rPr>
          <w:rFonts w:eastAsia="Calibri" w:cs="Arial"/>
        </w:rPr>
        <w:t xml:space="preserve"> £</w:t>
      </w:r>
      <w:r w:rsidR="005D3B69" w:rsidRPr="004616CB">
        <w:rPr>
          <w:rFonts w:eastAsia="Calibri" w:cs="Arial"/>
        </w:rPr>
        <w:t>350</w:t>
      </w:r>
      <w:r w:rsidRPr="004616CB">
        <w:rPr>
          <w:rFonts w:eastAsia="Calibri" w:cs="Arial"/>
        </w:rPr>
        <w:t xml:space="preserve"> million</w:t>
      </w:r>
      <w:r w:rsidR="00450309" w:rsidRPr="004616CB">
        <w:rPr>
          <w:rFonts w:eastAsia="Calibri" w:cs="Arial"/>
        </w:rPr>
        <w:t xml:space="preserve"> to cover all capital commitments including new affordable housing</w:t>
      </w:r>
      <w:r w:rsidR="005D3B69" w:rsidRPr="004616CB">
        <w:rPr>
          <w:rFonts w:eastAsia="Calibri" w:cs="Arial"/>
        </w:rPr>
        <w:t xml:space="preserve"> </w:t>
      </w:r>
      <w:r w:rsidR="009C73DC" w:rsidRPr="004616CB">
        <w:rPr>
          <w:rFonts w:eastAsia="Calibri" w:cs="Arial"/>
        </w:rPr>
        <w:t xml:space="preserve"> around £</w:t>
      </w:r>
      <w:r w:rsidR="0091324C">
        <w:rPr>
          <w:rFonts w:eastAsia="Calibri" w:cs="Arial"/>
        </w:rPr>
        <w:t>50</w:t>
      </w:r>
      <w:r w:rsidR="009C73DC" w:rsidRPr="004616CB">
        <w:rPr>
          <w:rFonts w:eastAsia="Calibri" w:cs="Arial"/>
        </w:rPr>
        <w:t xml:space="preserve"> million over the next 10 years for climate change initiatives to Council owned properties and </w:t>
      </w:r>
      <w:r w:rsidRPr="004616CB">
        <w:rPr>
          <w:rFonts w:eastAsia="Calibri" w:cs="Arial"/>
        </w:rPr>
        <w:t>other regeneration activity in the HRA</w:t>
      </w:r>
    </w:p>
    <w:p w:rsidR="00223741" w:rsidRPr="004616CB" w:rsidRDefault="00223741" w:rsidP="007E34DD">
      <w:pPr>
        <w:pStyle w:val="ListParagraph"/>
        <w:numPr>
          <w:ilvl w:val="0"/>
          <w:numId w:val="25"/>
        </w:numPr>
        <w:ind w:left="1843" w:hanging="709"/>
        <w:rPr>
          <w:rFonts w:eastAsia="Calibri" w:cs="Arial"/>
        </w:rPr>
      </w:pPr>
      <w:r w:rsidRPr="004616CB">
        <w:rPr>
          <w:rFonts w:eastAsia="Calibri" w:cs="Arial"/>
        </w:rPr>
        <w:t xml:space="preserve">All debt </w:t>
      </w:r>
      <w:r w:rsidR="004C7192" w:rsidRPr="004616CB">
        <w:rPr>
          <w:rFonts w:eastAsia="Calibri" w:cs="Arial"/>
        </w:rPr>
        <w:t>self-financing</w:t>
      </w:r>
      <w:r w:rsidRPr="004616CB">
        <w:rPr>
          <w:rFonts w:eastAsia="Calibri" w:cs="Arial"/>
        </w:rPr>
        <w:t xml:space="preserve"> and </w:t>
      </w:r>
      <w:r w:rsidR="004C7192" w:rsidRPr="004616CB">
        <w:rPr>
          <w:rFonts w:eastAsia="Calibri" w:cs="Arial"/>
        </w:rPr>
        <w:t>additional</w:t>
      </w:r>
      <w:r w:rsidRPr="004616CB">
        <w:rPr>
          <w:rFonts w:eastAsia="Calibri" w:cs="Arial"/>
        </w:rPr>
        <w:t xml:space="preserve"> seco</w:t>
      </w:r>
      <w:r w:rsidR="004C7192" w:rsidRPr="004616CB">
        <w:rPr>
          <w:rFonts w:eastAsia="Calibri" w:cs="Arial"/>
        </w:rPr>
        <w:t>nd</w:t>
      </w:r>
      <w:r w:rsidRPr="004616CB">
        <w:rPr>
          <w:rFonts w:eastAsia="Calibri" w:cs="Arial"/>
        </w:rPr>
        <w:t>ary debt to be repaid within a 40 year period</w:t>
      </w:r>
    </w:p>
    <w:p w:rsidR="00B00CF9" w:rsidRPr="004616CB" w:rsidRDefault="00223741" w:rsidP="007E34DD">
      <w:pPr>
        <w:pStyle w:val="ListParagraph"/>
        <w:numPr>
          <w:ilvl w:val="0"/>
          <w:numId w:val="25"/>
        </w:numPr>
        <w:ind w:left="1843" w:hanging="709"/>
        <w:rPr>
          <w:rFonts w:eastAsia="Calibri" w:cs="Arial"/>
        </w:rPr>
      </w:pPr>
      <w:r w:rsidRPr="004616CB">
        <w:rPr>
          <w:rFonts w:eastAsia="Calibri" w:cs="Arial"/>
        </w:rPr>
        <w:t xml:space="preserve">HRA working </w:t>
      </w:r>
      <w:r w:rsidR="004C7192" w:rsidRPr="004616CB">
        <w:rPr>
          <w:rFonts w:eastAsia="Calibri" w:cs="Arial"/>
        </w:rPr>
        <w:t>balance</w:t>
      </w:r>
      <w:r w:rsidRPr="004616CB">
        <w:rPr>
          <w:rFonts w:eastAsia="Calibri" w:cs="Arial"/>
        </w:rPr>
        <w:t xml:space="preserve"> not to fall below £</w:t>
      </w:r>
      <w:r w:rsidR="007D1332">
        <w:rPr>
          <w:rFonts w:eastAsia="Calibri" w:cs="Arial"/>
        </w:rPr>
        <w:t>4</w:t>
      </w:r>
      <w:r w:rsidRPr="004616CB">
        <w:rPr>
          <w:rFonts w:eastAsia="Calibri" w:cs="Arial"/>
        </w:rPr>
        <w:t xml:space="preserve"> million</w:t>
      </w:r>
      <w:r w:rsidR="009C73DC" w:rsidRPr="004616CB">
        <w:rPr>
          <w:rFonts w:eastAsia="Calibri" w:cs="Arial"/>
        </w:rPr>
        <w:t xml:space="preserve">  </w:t>
      </w:r>
    </w:p>
    <w:p w:rsidR="00B00CF9" w:rsidRPr="00000222" w:rsidRDefault="00B00CF9" w:rsidP="0045662E">
      <w:pPr>
        <w:pStyle w:val="ListParagraph"/>
        <w:ind w:left="709" w:hanging="709"/>
        <w:rPr>
          <w:rFonts w:eastAsia="Calibri" w:cs="Arial"/>
          <w:highlight w:val="yellow"/>
        </w:rPr>
      </w:pPr>
    </w:p>
    <w:p w:rsidR="005D36C9" w:rsidRPr="004616CB" w:rsidRDefault="009C73DC" w:rsidP="007E34DD">
      <w:pPr>
        <w:pStyle w:val="ListParagraph"/>
        <w:numPr>
          <w:ilvl w:val="0"/>
          <w:numId w:val="55"/>
        </w:numPr>
        <w:ind w:left="709" w:hanging="709"/>
        <w:rPr>
          <w:rFonts w:eastAsia="Calibri" w:cs="Arial"/>
        </w:rPr>
      </w:pPr>
      <w:r w:rsidRPr="004616CB">
        <w:rPr>
          <w:rFonts w:eastAsia="Calibri" w:cs="Arial"/>
        </w:rPr>
        <w:t>To accommodate this level of increased activity and cost the first 3 self-</w:t>
      </w:r>
      <w:r w:rsidR="004C7192" w:rsidRPr="004616CB">
        <w:rPr>
          <w:rFonts w:eastAsia="Calibri" w:cs="Arial"/>
        </w:rPr>
        <w:t>financing</w:t>
      </w:r>
      <w:r w:rsidRPr="004616CB">
        <w:rPr>
          <w:rFonts w:eastAsia="Calibri" w:cs="Arial"/>
        </w:rPr>
        <w:t xml:space="preserve"> loans totalling £80 </w:t>
      </w:r>
      <w:r w:rsidR="004C7192" w:rsidRPr="004616CB">
        <w:rPr>
          <w:rFonts w:eastAsia="Calibri" w:cs="Arial"/>
        </w:rPr>
        <w:t>million</w:t>
      </w:r>
      <w:r w:rsidRPr="004616CB">
        <w:rPr>
          <w:rFonts w:eastAsia="Calibri" w:cs="Arial"/>
        </w:rPr>
        <w:t xml:space="preserve"> have been refinanced </w:t>
      </w:r>
      <w:r w:rsidR="00D31F40" w:rsidRPr="004616CB">
        <w:rPr>
          <w:rFonts w:eastAsia="Calibri" w:cs="Arial"/>
        </w:rPr>
        <w:t xml:space="preserve">by the Council </w:t>
      </w:r>
      <w:r w:rsidR="00B00CF9" w:rsidRPr="004616CB">
        <w:rPr>
          <w:rFonts w:eastAsia="Calibri" w:cs="Arial"/>
        </w:rPr>
        <w:t xml:space="preserve">with repayment being pushed out from 2031 to 2051. </w:t>
      </w:r>
      <w:r w:rsidRPr="004616CB">
        <w:rPr>
          <w:rFonts w:eastAsia="Calibri" w:cs="Arial"/>
        </w:rPr>
        <w:t xml:space="preserve">  </w:t>
      </w:r>
    </w:p>
    <w:p w:rsidR="00B00CF9" w:rsidRPr="004616CB" w:rsidRDefault="00B00CF9" w:rsidP="0045662E">
      <w:pPr>
        <w:pStyle w:val="ListParagraph"/>
        <w:ind w:left="709" w:hanging="709"/>
        <w:rPr>
          <w:rFonts w:eastAsia="Calibri" w:cs="Arial"/>
        </w:rPr>
      </w:pPr>
    </w:p>
    <w:p w:rsidR="00B00CF9" w:rsidRDefault="00B00CF9" w:rsidP="007E34DD">
      <w:pPr>
        <w:pStyle w:val="ListParagraph"/>
        <w:numPr>
          <w:ilvl w:val="0"/>
          <w:numId w:val="55"/>
        </w:numPr>
        <w:ind w:left="709" w:hanging="709"/>
        <w:rPr>
          <w:rFonts w:eastAsia="Calibri" w:cs="Arial"/>
        </w:rPr>
      </w:pPr>
      <w:r w:rsidRPr="004616CB">
        <w:rPr>
          <w:rFonts w:eastAsia="Calibri" w:cs="Arial"/>
        </w:rPr>
        <w:t xml:space="preserve">The debt profile of the HRA </w:t>
      </w:r>
      <w:r w:rsidR="00223741" w:rsidRPr="004616CB">
        <w:rPr>
          <w:rFonts w:eastAsia="Calibri" w:cs="Arial"/>
        </w:rPr>
        <w:t xml:space="preserve">together with the resulting HRA working balance over the next </w:t>
      </w:r>
      <w:r w:rsidR="00565B38" w:rsidRPr="004616CB">
        <w:rPr>
          <w:rFonts w:eastAsia="Calibri" w:cs="Arial"/>
        </w:rPr>
        <w:t xml:space="preserve">few </w:t>
      </w:r>
      <w:r w:rsidR="004C7192" w:rsidRPr="004616CB">
        <w:rPr>
          <w:rFonts w:eastAsia="Calibri" w:cs="Arial"/>
        </w:rPr>
        <w:t>years</w:t>
      </w:r>
      <w:r w:rsidR="00565B38" w:rsidRPr="004616CB">
        <w:rPr>
          <w:rFonts w:eastAsia="Calibri" w:cs="Arial"/>
        </w:rPr>
        <w:t xml:space="preserve"> </w:t>
      </w:r>
      <w:r w:rsidR="00223741" w:rsidRPr="004616CB">
        <w:rPr>
          <w:rFonts w:eastAsia="Calibri" w:cs="Arial"/>
        </w:rPr>
        <w:t>is shown as follows:</w:t>
      </w:r>
    </w:p>
    <w:p w:rsidR="00B436F1" w:rsidRDefault="00B436F1" w:rsidP="00B436F1">
      <w:pPr>
        <w:pStyle w:val="ListParagraph"/>
        <w:rPr>
          <w:rFonts w:eastAsia="Calibri" w:cs="Arial"/>
        </w:rPr>
      </w:pPr>
    </w:p>
    <w:p w:rsidR="00C76527" w:rsidRDefault="00C76527" w:rsidP="00B436F1">
      <w:pPr>
        <w:pStyle w:val="ListParagraph"/>
        <w:rPr>
          <w:rFonts w:eastAsia="Calibri" w:cs="Arial"/>
        </w:rPr>
      </w:pPr>
    </w:p>
    <w:p w:rsidR="00C76527" w:rsidRDefault="00C76527" w:rsidP="00B436F1">
      <w:pPr>
        <w:pStyle w:val="ListParagraph"/>
        <w:rPr>
          <w:rFonts w:eastAsia="Calibri" w:cs="Arial"/>
        </w:rPr>
      </w:pPr>
    </w:p>
    <w:p w:rsidR="00C76527" w:rsidRPr="00B436F1" w:rsidRDefault="00C76527" w:rsidP="00B436F1">
      <w:pPr>
        <w:pStyle w:val="ListParagraph"/>
        <w:rPr>
          <w:rFonts w:eastAsia="Calibri" w:cs="Arial"/>
        </w:rPr>
      </w:pPr>
    </w:p>
    <w:p w:rsidR="00B436F1" w:rsidRDefault="00B436F1" w:rsidP="00B436F1">
      <w:pPr>
        <w:rPr>
          <w:rFonts w:eastAsia="Calibri" w:cs="Arial"/>
        </w:rPr>
      </w:pPr>
    </w:p>
    <w:p w:rsidR="005F15AB" w:rsidRPr="004616CB" w:rsidRDefault="005F15AB" w:rsidP="005F15AB">
      <w:pPr>
        <w:pStyle w:val="ListParagraph"/>
        <w:ind w:hanging="720"/>
        <w:rPr>
          <w:rFonts w:eastAsia="Calibri" w:cs="Arial"/>
        </w:rPr>
      </w:pPr>
    </w:p>
    <w:tbl>
      <w:tblPr>
        <w:tblStyle w:val="TableGrid"/>
        <w:tblW w:w="0" w:type="auto"/>
        <w:tblInd w:w="704" w:type="dxa"/>
        <w:tblLook w:val="04A0" w:firstRow="1" w:lastRow="0" w:firstColumn="1" w:lastColumn="0" w:noHBand="0" w:noVBand="1"/>
      </w:tblPr>
      <w:tblGrid>
        <w:gridCol w:w="3347"/>
        <w:gridCol w:w="2788"/>
        <w:gridCol w:w="2777"/>
      </w:tblGrid>
      <w:tr w:rsidR="00565B38" w:rsidRPr="004616CB" w:rsidTr="00831753">
        <w:tc>
          <w:tcPr>
            <w:tcW w:w="8912" w:type="dxa"/>
            <w:gridSpan w:val="3"/>
            <w:shd w:val="clear" w:color="auto" w:fill="A6A6A6" w:themeFill="background1" w:themeFillShade="A6"/>
          </w:tcPr>
          <w:p w:rsidR="00565B38" w:rsidRPr="004616CB" w:rsidRDefault="00832276" w:rsidP="00F6402D">
            <w:pPr>
              <w:pStyle w:val="ListParagraph"/>
              <w:ind w:left="630" w:hanging="630"/>
              <w:rPr>
                <w:rFonts w:eastAsia="Calibri" w:cs="Arial"/>
                <w:b/>
              </w:rPr>
            </w:pPr>
            <w:r w:rsidRPr="004616CB">
              <w:rPr>
                <w:rFonts w:eastAsia="Calibri" w:cs="Arial"/>
                <w:b/>
              </w:rPr>
              <w:lastRenderedPageBreak/>
              <w:t>T</w:t>
            </w:r>
            <w:r w:rsidR="00565B38" w:rsidRPr="004616CB">
              <w:rPr>
                <w:rFonts w:eastAsia="Calibri" w:cs="Arial"/>
                <w:b/>
              </w:rPr>
              <w:t xml:space="preserve">able </w:t>
            </w:r>
            <w:r w:rsidR="002D1EDA" w:rsidRPr="004616CB">
              <w:rPr>
                <w:rFonts w:eastAsia="Calibri" w:cs="Arial"/>
                <w:b/>
              </w:rPr>
              <w:t>1</w:t>
            </w:r>
            <w:r w:rsidR="00967143">
              <w:rPr>
                <w:rFonts w:eastAsia="Calibri" w:cs="Arial"/>
                <w:b/>
              </w:rPr>
              <w:t>2</w:t>
            </w:r>
            <w:r w:rsidR="009113C5" w:rsidRPr="004616CB">
              <w:rPr>
                <w:rFonts w:eastAsia="Calibri" w:cs="Arial"/>
                <w:b/>
              </w:rPr>
              <w:t xml:space="preserve"> </w:t>
            </w:r>
            <w:r w:rsidR="00565B38" w:rsidRPr="004616CB">
              <w:rPr>
                <w:rFonts w:eastAsia="Calibri" w:cs="Arial"/>
                <w:b/>
              </w:rPr>
              <w:t xml:space="preserve">HRA </w:t>
            </w:r>
            <w:r w:rsidR="004C7192" w:rsidRPr="004616CB">
              <w:rPr>
                <w:rFonts w:eastAsia="Calibri" w:cs="Arial"/>
                <w:b/>
              </w:rPr>
              <w:t>Outstanding</w:t>
            </w:r>
            <w:r w:rsidR="00565B38" w:rsidRPr="004616CB">
              <w:rPr>
                <w:rFonts w:eastAsia="Calibri" w:cs="Arial"/>
                <w:b/>
              </w:rPr>
              <w:t xml:space="preserve"> loans and Working Balances</w:t>
            </w:r>
          </w:p>
        </w:tc>
      </w:tr>
      <w:tr w:rsidR="004616CB" w:rsidRPr="004616CB" w:rsidTr="00831753">
        <w:tc>
          <w:tcPr>
            <w:tcW w:w="3347" w:type="dxa"/>
            <w:shd w:val="clear" w:color="auto" w:fill="A6A6A6" w:themeFill="background1" w:themeFillShade="A6"/>
          </w:tcPr>
          <w:p w:rsidR="00565B38" w:rsidRPr="004616CB" w:rsidRDefault="00565B38" w:rsidP="001567C0">
            <w:pPr>
              <w:pStyle w:val="ListParagraph"/>
              <w:ind w:left="630" w:hanging="630"/>
              <w:rPr>
                <w:rFonts w:eastAsia="Calibri" w:cs="Arial"/>
                <w:b/>
              </w:rPr>
            </w:pPr>
          </w:p>
        </w:tc>
        <w:tc>
          <w:tcPr>
            <w:tcW w:w="2788" w:type="dxa"/>
            <w:shd w:val="clear" w:color="auto" w:fill="A6A6A6" w:themeFill="background1" w:themeFillShade="A6"/>
          </w:tcPr>
          <w:p w:rsidR="00565B38" w:rsidRPr="004616CB" w:rsidRDefault="00565B38" w:rsidP="001567C0">
            <w:pPr>
              <w:pStyle w:val="ListParagraph"/>
              <w:ind w:left="630" w:hanging="630"/>
              <w:rPr>
                <w:rFonts w:eastAsia="Calibri" w:cs="Arial"/>
                <w:b/>
              </w:rPr>
            </w:pPr>
            <w:r w:rsidRPr="004616CB">
              <w:rPr>
                <w:rFonts w:eastAsia="Calibri" w:cs="Arial"/>
                <w:b/>
              </w:rPr>
              <w:t>Closing Loan Balance</w:t>
            </w:r>
          </w:p>
        </w:tc>
        <w:tc>
          <w:tcPr>
            <w:tcW w:w="2777" w:type="dxa"/>
            <w:shd w:val="clear" w:color="auto" w:fill="A6A6A6" w:themeFill="background1" w:themeFillShade="A6"/>
          </w:tcPr>
          <w:p w:rsidR="00565B38" w:rsidRPr="004616CB" w:rsidRDefault="00565B38" w:rsidP="00D93703">
            <w:pPr>
              <w:pStyle w:val="ListParagraph"/>
              <w:ind w:left="0"/>
              <w:jc w:val="center"/>
              <w:rPr>
                <w:rFonts w:eastAsia="Calibri" w:cs="Arial"/>
                <w:b/>
              </w:rPr>
            </w:pPr>
            <w:r w:rsidRPr="004616CB">
              <w:rPr>
                <w:rFonts w:eastAsia="Calibri" w:cs="Arial"/>
                <w:b/>
              </w:rPr>
              <w:t>Working Balance</w:t>
            </w:r>
          </w:p>
        </w:tc>
      </w:tr>
      <w:tr w:rsidR="004616CB" w:rsidRPr="004616CB" w:rsidTr="00831753">
        <w:tc>
          <w:tcPr>
            <w:tcW w:w="3347" w:type="dxa"/>
            <w:shd w:val="clear" w:color="auto" w:fill="A6A6A6" w:themeFill="background1" w:themeFillShade="A6"/>
          </w:tcPr>
          <w:p w:rsidR="00565B38" w:rsidRPr="004616CB" w:rsidRDefault="00565B38" w:rsidP="001567C0">
            <w:pPr>
              <w:pStyle w:val="ListParagraph"/>
              <w:ind w:left="630" w:hanging="630"/>
              <w:rPr>
                <w:rFonts w:eastAsia="Calibri" w:cs="Arial"/>
                <w:b/>
              </w:rPr>
            </w:pPr>
          </w:p>
        </w:tc>
        <w:tc>
          <w:tcPr>
            <w:tcW w:w="2788" w:type="dxa"/>
            <w:shd w:val="clear" w:color="auto" w:fill="A6A6A6" w:themeFill="background1" w:themeFillShade="A6"/>
          </w:tcPr>
          <w:p w:rsidR="00565B38" w:rsidRPr="004616CB" w:rsidRDefault="00565B38" w:rsidP="00DB0017">
            <w:pPr>
              <w:pStyle w:val="ListParagraph"/>
              <w:ind w:left="630" w:hanging="630"/>
              <w:jc w:val="center"/>
              <w:rPr>
                <w:rFonts w:eastAsia="Calibri" w:cs="Arial"/>
                <w:b/>
              </w:rPr>
            </w:pPr>
            <w:r w:rsidRPr="004616CB">
              <w:rPr>
                <w:rFonts w:eastAsia="Calibri" w:cs="Arial"/>
                <w:b/>
              </w:rPr>
              <w:t>£000’s</w:t>
            </w:r>
          </w:p>
        </w:tc>
        <w:tc>
          <w:tcPr>
            <w:tcW w:w="2777" w:type="dxa"/>
            <w:shd w:val="clear" w:color="auto" w:fill="A6A6A6" w:themeFill="background1" w:themeFillShade="A6"/>
          </w:tcPr>
          <w:p w:rsidR="00565B38" w:rsidRPr="004616CB" w:rsidRDefault="00565B38" w:rsidP="00DB0017">
            <w:pPr>
              <w:pStyle w:val="ListParagraph"/>
              <w:ind w:left="630" w:hanging="630"/>
              <w:jc w:val="center"/>
              <w:rPr>
                <w:rFonts w:eastAsia="Calibri" w:cs="Arial"/>
                <w:b/>
              </w:rPr>
            </w:pPr>
            <w:r w:rsidRPr="004616CB">
              <w:rPr>
                <w:rFonts w:eastAsia="Calibri" w:cs="Arial"/>
                <w:b/>
              </w:rPr>
              <w:t>£000’s</w:t>
            </w:r>
          </w:p>
        </w:tc>
      </w:tr>
      <w:tr w:rsidR="004616CB" w:rsidRPr="004616CB" w:rsidTr="00831753">
        <w:tc>
          <w:tcPr>
            <w:tcW w:w="3347" w:type="dxa"/>
          </w:tcPr>
          <w:p w:rsidR="004673C0" w:rsidRPr="004616CB" w:rsidRDefault="004673C0" w:rsidP="004673C0">
            <w:pPr>
              <w:pStyle w:val="ListParagraph"/>
              <w:ind w:left="630" w:hanging="630"/>
              <w:rPr>
                <w:rFonts w:eastAsia="Calibri" w:cs="Arial"/>
              </w:rPr>
            </w:pPr>
            <w:r w:rsidRPr="004616CB">
              <w:rPr>
                <w:rFonts w:eastAsia="Calibri" w:cs="Arial"/>
              </w:rPr>
              <w:t>2021/22</w:t>
            </w:r>
            <w:r w:rsidR="00CD6E68">
              <w:rPr>
                <w:rFonts w:eastAsia="Calibri" w:cs="Arial"/>
              </w:rPr>
              <w:t>£30</w:t>
            </w:r>
          </w:p>
        </w:tc>
        <w:tc>
          <w:tcPr>
            <w:tcW w:w="2788" w:type="dxa"/>
          </w:tcPr>
          <w:p w:rsidR="004673C0" w:rsidRPr="004616CB" w:rsidRDefault="004673C0" w:rsidP="00831753">
            <w:pPr>
              <w:pStyle w:val="ListParagraph"/>
              <w:ind w:left="0"/>
              <w:jc w:val="center"/>
              <w:rPr>
                <w:rFonts w:eastAsia="Calibri" w:cs="Arial"/>
              </w:rPr>
            </w:pPr>
            <w:r w:rsidRPr="004616CB">
              <w:rPr>
                <w:rFonts w:eastAsia="Calibri" w:cs="Arial"/>
              </w:rPr>
              <w:t>2</w:t>
            </w:r>
            <w:r w:rsidR="00831753">
              <w:rPr>
                <w:rFonts w:eastAsia="Calibri" w:cs="Arial"/>
              </w:rPr>
              <w:t>74</w:t>
            </w:r>
            <w:r w:rsidRPr="004616CB">
              <w:rPr>
                <w:rFonts w:eastAsia="Calibri" w:cs="Arial"/>
              </w:rPr>
              <w:t>,</w:t>
            </w:r>
            <w:r w:rsidR="00831753">
              <w:rPr>
                <w:rFonts w:eastAsia="Calibri" w:cs="Arial"/>
              </w:rPr>
              <w:t>151</w:t>
            </w:r>
          </w:p>
        </w:tc>
        <w:tc>
          <w:tcPr>
            <w:tcW w:w="2777" w:type="dxa"/>
          </w:tcPr>
          <w:p w:rsidR="004673C0" w:rsidRPr="004616CB" w:rsidRDefault="00831753" w:rsidP="004616CB">
            <w:pPr>
              <w:pStyle w:val="ListParagraph"/>
              <w:ind w:left="0"/>
              <w:jc w:val="center"/>
              <w:rPr>
                <w:rFonts w:eastAsia="Calibri" w:cs="Arial"/>
              </w:rPr>
            </w:pPr>
            <w:r>
              <w:rPr>
                <w:rFonts w:eastAsia="Calibri" w:cs="Arial"/>
              </w:rPr>
              <w:t>5,964</w:t>
            </w:r>
          </w:p>
        </w:tc>
      </w:tr>
      <w:tr w:rsidR="004616CB" w:rsidRPr="004616CB" w:rsidTr="00831753">
        <w:tc>
          <w:tcPr>
            <w:tcW w:w="3347" w:type="dxa"/>
          </w:tcPr>
          <w:p w:rsidR="004673C0" w:rsidRPr="004616CB" w:rsidRDefault="004673C0" w:rsidP="004673C0">
            <w:pPr>
              <w:pStyle w:val="ListParagraph"/>
              <w:ind w:left="630" w:hanging="630"/>
              <w:rPr>
                <w:rFonts w:eastAsia="Calibri" w:cs="Arial"/>
              </w:rPr>
            </w:pPr>
            <w:r w:rsidRPr="004616CB">
              <w:rPr>
                <w:rFonts w:eastAsia="Calibri" w:cs="Arial"/>
              </w:rPr>
              <w:t>2022/23</w:t>
            </w:r>
          </w:p>
        </w:tc>
        <w:tc>
          <w:tcPr>
            <w:tcW w:w="2788" w:type="dxa"/>
          </w:tcPr>
          <w:p w:rsidR="004673C0" w:rsidRPr="004616CB" w:rsidRDefault="004616CB" w:rsidP="00831753">
            <w:pPr>
              <w:pStyle w:val="ListParagraph"/>
              <w:ind w:left="0"/>
              <w:jc w:val="center"/>
              <w:rPr>
                <w:rFonts w:eastAsia="Calibri" w:cs="Arial"/>
              </w:rPr>
            </w:pPr>
            <w:r w:rsidRPr="004616CB">
              <w:rPr>
                <w:rFonts w:eastAsia="Calibri" w:cs="Arial"/>
              </w:rPr>
              <w:t>3</w:t>
            </w:r>
            <w:r w:rsidR="00831753">
              <w:rPr>
                <w:rFonts w:eastAsia="Calibri" w:cs="Arial"/>
              </w:rPr>
              <w:t>3</w:t>
            </w:r>
            <w:r w:rsidRPr="004616CB">
              <w:rPr>
                <w:rFonts w:eastAsia="Calibri" w:cs="Arial"/>
              </w:rPr>
              <w:t>2,</w:t>
            </w:r>
            <w:r w:rsidR="00831753">
              <w:rPr>
                <w:rFonts w:eastAsia="Calibri" w:cs="Arial"/>
              </w:rPr>
              <w:t>430</w:t>
            </w:r>
          </w:p>
        </w:tc>
        <w:tc>
          <w:tcPr>
            <w:tcW w:w="2777" w:type="dxa"/>
          </w:tcPr>
          <w:p w:rsidR="004673C0" w:rsidRPr="004616CB" w:rsidRDefault="004616CB" w:rsidP="00831753">
            <w:pPr>
              <w:pStyle w:val="ListParagraph"/>
              <w:ind w:left="0"/>
              <w:jc w:val="center"/>
              <w:rPr>
                <w:rFonts w:eastAsia="Calibri" w:cs="Arial"/>
              </w:rPr>
            </w:pPr>
            <w:r w:rsidRPr="004616CB">
              <w:rPr>
                <w:rFonts w:eastAsia="Calibri" w:cs="Arial"/>
              </w:rPr>
              <w:t>6,</w:t>
            </w:r>
            <w:r w:rsidR="00831753">
              <w:rPr>
                <w:rFonts w:eastAsia="Calibri" w:cs="Arial"/>
              </w:rPr>
              <w:t>485</w:t>
            </w:r>
          </w:p>
        </w:tc>
      </w:tr>
      <w:tr w:rsidR="004616CB" w:rsidRPr="004616CB" w:rsidTr="00831753">
        <w:tc>
          <w:tcPr>
            <w:tcW w:w="3347" w:type="dxa"/>
          </w:tcPr>
          <w:p w:rsidR="004673C0" w:rsidRPr="004616CB" w:rsidRDefault="004673C0" w:rsidP="004673C0">
            <w:pPr>
              <w:pStyle w:val="ListParagraph"/>
              <w:ind w:left="630" w:hanging="630"/>
              <w:rPr>
                <w:rFonts w:eastAsia="Calibri" w:cs="Arial"/>
              </w:rPr>
            </w:pPr>
            <w:r w:rsidRPr="004616CB">
              <w:rPr>
                <w:rFonts w:eastAsia="Calibri" w:cs="Arial"/>
              </w:rPr>
              <w:t>2023/24</w:t>
            </w:r>
          </w:p>
        </w:tc>
        <w:tc>
          <w:tcPr>
            <w:tcW w:w="2788" w:type="dxa"/>
          </w:tcPr>
          <w:p w:rsidR="004673C0" w:rsidRPr="004616CB" w:rsidRDefault="004616CB" w:rsidP="00831753">
            <w:pPr>
              <w:pStyle w:val="ListParagraph"/>
              <w:ind w:left="0"/>
              <w:jc w:val="center"/>
              <w:rPr>
                <w:rFonts w:eastAsia="Calibri" w:cs="Arial"/>
              </w:rPr>
            </w:pPr>
            <w:r w:rsidRPr="004616CB">
              <w:rPr>
                <w:rFonts w:eastAsia="Calibri" w:cs="Arial"/>
              </w:rPr>
              <w:t>3</w:t>
            </w:r>
            <w:r w:rsidR="00831753">
              <w:rPr>
                <w:rFonts w:eastAsia="Calibri" w:cs="Arial"/>
              </w:rPr>
              <w:t>8</w:t>
            </w:r>
            <w:r w:rsidRPr="004616CB">
              <w:rPr>
                <w:rFonts w:eastAsia="Calibri" w:cs="Arial"/>
              </w:rPr>
              <w:t>1,3</w:t>
            </w:r>
            <w:r w:rsidR="00831753">
              <w:rPr>
                <w:rFonts w:eastAsia="Calibri" w:cs="Arial"/>
              </w:rPr>
              <w:t>91</w:t>
            </w:r>
          </w:p>
        </w:tc>
        <w:tc>
          <w:tcPr>
            <w:tcW w:w="2777" w:type="dxa"/>
          </w:tcPr>
          <w:p w:rsidR="004673C0" w:rsidRPr="004616CB" w:rsidRDefault="00831753" w:rsidP="00831753">
            <w:pPr>
              <w:pStyle w:val="ListParagraph"/>
              <w:ind w:left="0"/>
              <w:jc w:val="center"/>
              <w:rPr>
                <w:rFonts w:eastAsia="Calibri" w:cs="Arial"/>
              </w:rPr>
            </w:pPr>
            <w:r>
              <w:rPr>
                <w:rFonts w:eastAsia="Calibri" w:cs="Arial"/>
              </w:rPr>
              <w:t>6</w:t>
            </w:r>
            <w:r w:rsidR="004616CB" w:rsidRPr="004616CB">
              <w:rPr>
                <w:rFonts w:eastAsia="Calibri" w:cs="Arial"/>
              </w:rPr>
              <w:t>,</w:t>
            </w:r>
            <w:r>
              <w:rPr>
                <w:rFonts w:eastAsia="Calibri" w:cs="Arial"/>
              </w:rPr>
              <w:t>854</w:t>
            </w:r>
          </w:p>
        </w:tc>
      </w:tr>
      <w:tr w:rsidR="00831753" w:rsidRPr="004616CB" w:rsidTr="00831753">
        <w:tc>
          <w:tcPr>
            <w:tcW w:w="3347" w:type="dxa"/>
          </w:tcPr>
          <w:p w:rsidR="00831753" w:rsidRPr="004616CB" w:rsidRDefault="00831753" w:rsidP="004673C0">
            <w:pPr>
              <w:pStyle w:val="ListParagraph"/>
              <w:ind w:left="630" w:hanging="630"/>
              <w:rPr>
                <w:rFonts w:eastAsia="Calibri" w:cs="Arial"/>
              </w:rPr>
            </w:pPr>
            <w:r>
              <w:rPr>
                <w:rFonts w:eastAsia="Calibri" w:cs="Arial"/>
              </w:rPr>
              <w:t>2024-25</w:t>
            </w:r>
          </w:p>
        </w:tc>
        <w:tc>
          <w:tcPr>
            <w:tcW w:w="2788" w:type="dxa"/>
          </w:tcPr>
          <w:p w:rsidR="00831753" w:rsidRPr="004616CB" w:rsidRDefault="00831753" w:rsidP="00D93703">
            <w:pPr>
              <w:pStyle w:val="ListParagraph"/>
              <w:ind w:left="0"/>
              <w:jc w:val="center"/>
              <w:rPr>
                <w:rFonts w:eastAsia="Calibri" w:cs="Arial"/>
              </w:rPr>
            </w:pPr>
            <w:r>
              <w:rPr>
                <w:rFonts w:eastAsia="Calibri" w:cs="Arial"/>
              </w:rPr>
              <w:t>443,547</w:t>
            </w:r>
          </w:p>
        </w:tc>
        <w:tc>
          <w:tcPr>
            <w:tcW w:w="2777" w:type="dxa"/>
          </w:tcPr>
          <w:p w:rsidR="00831753" w:rsidRPr="004616CB" w:rsidRDefault="00FD6640" w:rsidP="00D93703">
            <w:pPr>
              <w:pStyle w:val="ListParagraph"/>
              <w:ind w:left="0"/>
              <w:jc w:val="center"/>
              <w:rPr>
                <w:rFonts w:eastAsia="Calibri" w:cs="Arial"/>
              </w:rPr>
            </w:pPr>
            <w:r>
              <w:rPr>
                <w:rFonts w:eastAsia="Calibri" w:cs="Arial"/>
              </w:rPr>
              <w:t>9,613</w:t>
            </w:r>
          </w:p>
        </w:tc>
      </w:tr>
      <w:tr w:rsidR="004616CB" w:rsidRPr="004616CB" w:rsidTr="00831753">
        <w:tc>
          <w:tcPr>
            <w:tcW w:w="3347" w:type="dxa"/>
          </w:tcPr>
          <w:p w:rsidR="004673C0" w:rsidRPr="004616CB" w:rsidRDefault="004673C0" w:rsidP="004673C0">
            <w:pPr>
              <w:pStyle w:val="ListParagraph"/>
              <w:ind w:left="630" w:hanging="630"/>
              <w:rPr>
                <w:rFonts w:eastAsia="Calibri" w:cs="Arial"/>
              </w:rPr>
            </w:pPr>
          </w:p>
        </w:tc>
        <w:tc>
          <w:tcPr>
            <w:tcW w:w="2788" w:type="dxa"/>
          </w:tcPr>
          <w:p w:rsidR="004673C0" w:rsidRPr="004616CB" w:rsidRDefault="004673C0" w:rsidP="00D93703">
            <w:pPr>
              <w:pStyle w:val="ListParagraph"/>
              <w:ind w:left="0"/>
              <w:jc w:val="center"/>
              <w:rPr>
                <w:rFonts w:eastAsia="Calibri" w:cs="Arial"/>
              </w:rPr>
            </w:pPr>
          </w:p>
        </w:tc>
        <w:tc>
          <w:tcPr>
            <w:tcW w:w="2777" w:type="dxa"/>
          </w:tcPr>
          <w:p w:rsidR="004673C0" w:rsidRPr="004616CB" w:rsidRDefault="004673C0" w:rsidP="00D93703">
            <w:pPr>
              <w:pStyle w:val="ListParagraph"/>
              <w:ind w:left="0"/>
              <w:jc w:val="center"/>
              <w:rPr>
                <w:rFonts w:eastAsia="Calibri" w:cs="Arial"/>
              </w:rPr>
            </w:pPr>
          </w:p>
        </w:tc>
      </w:tr>
      <w:tr w:rsidR="004616CB" w:rsidRPr="004616CB" w:rsidTr="00831753">
        <w:tc>
          <w:tcPr>
            <w:tcW w:w="3347" w:type="dxa"/>
          </w:tcPr>
          <w:p w:rsidR="004673C0" w:rsidRPr="004616CB" w:rsidRDefault="004673C0" w:rsidP="00831753">
            <w:pPr>
              <w:pStyle w:val="ListParagraph"/>
              <w:ind w:left="630" w:hanging="630"/>
              <w:rPr>
                <w:rFonts w:eastAsia="Calibri" w:cs="Arial"/>
              </w:rPr>
            </w:pPr>
            <w:r w:rsidRPr="004616CB">
              <w:rPr>
                <w:rFonts w:eastAsia="Calibri" w:cs="Arial"/>
              </w:rPr>
              <w:t>202</w:t>
            </w:r>
            <w:r w:rsidR="00831753">
              <w:rPr>
                <w:rFonts w:eastAsia="Calibri" w:cs="Arial"/>
              </w:rPr>
              <w:t>9</w:t>
            </w:r>
            <w:r w:rsidRPr="004616CB">
              <w:rPr>
                <w:rFonts w:eastAsia="Calibri" w:cs="Arial"/>
              </w:rPr>
              <w:t>/</w:t>
            </w:r>
            <w:r w:rsidR="00831753">
              <w:rPr>
                <w:rFonts w:eastAsia="Calibri" w:cs="Arial"/>
              </w:rPr>
              <w:t>30</w:t>
            </w:r>
            <w:r w:rsidRPr="004616CB">
              <w:rPr>
                <w:rFonts w:eastAsia="Calibri" w:cs="Arial"/>
              </w:rPr>
              <w:t xml:space="preserve"> – Peak debt</w:t>
            </w:r>
          </w:p>
        </w:tc>
        <w:tc>
          <w:tcPr>
            <w:tcW w:w="2788" w:type="dxa"/>
          </w:tcPr>
          <w:p w:rsidR="004673C0" w:rsidRPr="004616CB" w:rsidRDefault="004616CB" w:rsidP="00831753">
            <w:pPr>
              <w:pStyle w:val="ListParagraph"/>
              <w:ind w:left="0"/>
              <w:jc w:val="center"/>
              <w:rPr>
                <w:rFonts w:eastAsia="Calibri" w:cs="Arial"/>
              </w:rPr>
            </w:pPr>
            <w:r w:rsidRPr="004616CB">
              <w:rPr>
                <w:rFonts w:eastAsia="Calibri" w:cs="Arial"/>
              </w:rPr>
              <w:t>5</w:t>
            </w:r>
            <w:r w:rsidR="00831753">
              <w:rPr>
                <w:rFonts w:eastAsia="Calibri" w:cs="Arial"/>
              </w:rPr>
              <w:t>52</w:t>
            </w:r>
            <w:r w:rsidRPr="004616CB">
              <w:rPr>
                <w:rFonts w:eastAsia="Calibri" w:cs="Arial"/>
              </w:rPr>
              <w:t>,</w:t>
            </w:r>
            <w:r w:rsidR="00831753">
              <w:rPr>
                <w:rFonts w:eastAsia="Calibri" w:cs="Arial"/>
              </w:rPr>
              <w:t>820</w:t>
            </w:r>
          </w:p>
        </w:tc>
        <w:tc>
          <w:tcPr>
            <w:tcW w:w="2777" w:type="dxa"/>
          </w:tcPr>
          <w:p w:rsidR="004673C0" w:rsidRPr="004616CB" w:rsidRDefault="00831753" w:rsidP="00831753">
            <w:pPr>
              <w:pStyle w:val="ListParagraph"/>
              <w:ind w:left="0"/>
              <w:jc w:val="center"/>
              <w:rPr>
                <w:rFonts w:eastAsia="Calibri" w:cs="Arial"/>
              </w:rPr>
            </w:pPr>
            <w:r>
              <w:rPr>
                <w:rFonts w:eastAsia="Calibri" w:cs="Arial"/>
              </w:rPr>
              <w:t>2</w:t>
            </w:r>
            <w:r w:rsidR="004616CB" w:rsidRPr="004616CB">
              <w:rPr>
                <w:rFonts w:eastAsia="Calibri" w:cs="Arial"/>
              </w:rPr>
              <w:t>4,</w:t>
            </w:r>
            <w:r>
              <w:rPr>
                <w:rFonts w:eastAsia="Calibri" w:cs="Arial"/>
              </w:rPr>
              <w:t>004</w:t>
            </w:r>
          </w:p>
        </w:tc>
      </w:tr>
      <w:tr w:rsidR="004616CB" w:rsidRPr="004616CB" w:rsidTr="00831753">
        <w:tc>
          <w:tcPr>
            <w:tcW w:w="3347" w:type="dxa"/>
          </w:tcPr>
          <w:p w:rsidR="004673C0" w:rsidRPr="004616CB" w:rsidRDefault="004673C0" w:rsidP="004673C0">
            <w:pPr>
              <w:pStyle w:val="ListParagraph"/>
              <w:ind w:left="630" w:hanging="630"/>
              <w:rPr>
                <w:rFonts w:eastAsia="Calibri" w:cs="Arial"/>
              </w:rPr>
            </w:pPr>
          </w:p>
        </w:tc>
        <w:tc>
          <w:tcPr>
            <w:tcW w:w="2788" w:type="dxa"/>
          </w:tcPr>
          <w:p w:rsidR="004673C0" w:rsidRPr="004616CB" w:rsidRDefault="004673C0" w:rsidP="00D93703">
            <w:pPr>
              <w:pStyle w:val="ListParagraph"/>
              <w:ind w:left="0"/>
              <w:jc w:val="center"/>
              <w:rPr>
                <w:rFonts w:eastAsia="Calibri" w:cs="Arial"/>
              </w:rPr>
            </w:pPr>
          </w:p>
        </w:tc>
        <w:tc>
          <w:tcPr>
            <w:tcW w:w="2777" w:type="dxa"/>
          </w:tcPr>
          <w:p w:rsidR="004673C0" w:rsidRPr="004616CB" w:rsidRDefault="004673C0" w:rsidP="00D93703">
            <w:pPr>
              <w:pStyle w:val="ListParagraph"/>
              <w:ind w:left="0"/>
              <w:jc w:val="center"/>
              <w:rPr>
                <w:rFonts w:eastAsia="Calibri" w:cs="Arial"/>
              </w:rPr>
            </w:pPr>
          </w:p>
        </w:tc>
      </w:tr>
      <w:tr w:rsidR="004616CB" w:rsidRPr="00000222" w:rsidTr="00831753">
        <w:tc>
          <w:tcPr>
            <w:tcW w:w="3347" w:type="dxa"/>
          </w:tcPr>
          <w:p w:rsidR="004673C0" w:rsidRPr="004616CB" w:rsidRDefault="004673C0" w:rsidP="00831753">
            <w:pPr>
              <w:pStyle w:val="ListParagraph"/>
              <w:ind w:left="630" w:hanging="630"/>
              <w:rPr>
                <w:rFonts w:eastAsia="Calibri" w:cs="Arial"/>
              </w:rPr>
            </w:pPr>
            <w:r w:rsidRPr="004616CB">
              <w:rPr>
                <w:rFonts w:eastAsia="Calibri" w:cs="Arial"/>
              </w:rPr>
              <w:t>205</w:t>
            </w:r>
            <w:r w:rsidR="00831753">
              <w:rPr>
                <w:rFonts w:eastAsia="Calibri" w:cs="Arial"/>
              </w:rPr>
              <w:t>9</w:t>
            </w:r>
            <w:r w:rsidRPr="004616CB">
              <w:rPr>
                <w:rFonts w:eastAsia="Calibri" w:cs="Arial"/>
              </w:rPr>
              <w:t>/</w:t>
            </w:r>
            <w:r w:rsidR="00831753">
              <w:rPr>
                <w:rFonts w:eastAsia="Calibri" w:cs="Arial"/>
              </w:rPr>
              <w:t>60</w:t>
            </w:r>
          </w:p>
        </w:tc>
        <w:tc>
          <w:tcPr>
            <w:tcW w:w="2788" w:type="dxa"/>
          </w:tcPr>
          <w:p w:rsidR="004673C0" w:rsidRPr="004616CB" w:rsidRDefault="004673C0" w:rsidP="00D93703">
            <w:pPr>
              <w:pStyle w:val="ListParagraph"/>
              <w:ind w:left="0"/>
              <w:jc w:val="center"/>
              <w:rPr>
                <w:rFonts w:eastAsia="Calibri" w:cs="Arial"/>
              </w:rPr>
            </w:pPr>
            <w:r w:rsidRPr="004616CB">
              <w:rPr>
                <w:rFonts w:eastAsia="Calibri" w:cs="Arial"/>
              </w:rPr>
              <w:t>23,769</w:t>
            </w:r>
          </w:p>
        </w:tc>
        <w:tc>
          <w:tcPr>
            <w:tcW w:w="2777" w:type="dxa"/>
          </w:tcPr>
          <w:p w:rsidR="004673C0" w:rsidRPr="004616CB" w:rsidRDefault="004616CB" w:rsidP="00831753">
            <w:pPr>
              <w:pStyle w:val="ListParagraph"/>
              <w:ind w:left="0"/>
              <w:jc w:val="center"/>
              <w:rPr>
                <w:rFonts w:eastAsia="Calibri" w:cs="Arial"/>
              </w:rPr>
            </w:pPr>
            <w:r w:rsidRPr="004616CB">
              <w:rPr>
                <w:rFonts w:eastAsia="Calibri" w:cs="Arial"/>
              </w:rPr>
              <w:t>2</w:t>
            </w:r>
            <w:r w:rsidR="00831753">
              <w:rPr>
                <w:rFonts w:eastAsia="Calibri" w:cs="Arial"/>
              </w:rPr>
              <w:t>77</w:t>
            </w:r>
            <w:r w:rsidRPr="004616CB">
              <w:rPr>
                <w:rFonts w:eastAsia="Calibri" w:cs="Arial"/>
              </w:rPr>
              <w:t>,</w:t>
            </w:r>
            <w:r w:rsidR="00831753">
              <w:rPr>
                <w:rFonts w:eastAsia="Calibri" w:cs="Arial"/>
              </w:rPr>
              <w:t>424</w:t>
            </w:r>
          </w:p>
        </w:tc>
      </w:tr>
    </w:tbl>
    <w:p w:rsidR="00223741" w:rsidRPr="00000222" w:rsidRDefault="00223741" w:rsidP="001567C0">
      <w:pPr>
        <w:pStyle w:val="ListParagraph"/>
        <w:ind w:left="630" w:hanging="630"/>
        <w:rPr>
          <w:rFonts w:eastAsia="Calibri" w:cs="Arial"/>
          <w:highlight w:val="yellow"/>
        </w:rPr>
      </w:pPr>
    </w:p>
    <w:p w:rsidR="00223741" w:rsidRPr="004616CB" w:rsidRDefault="00565B38" w:rsidP="007E34DD">
      <w:pPr>
        <w:pStyle w:val="ListParagraph"/>
        <w:numPr>
          <w:ilvl w:val="0"/>
          <w:numId w:val="55"/>
        </w:numPr>
        <w:ind w:left="709" w:hanging="709"/>
        <w:rPr>
          <w:rFonts w:eastAsia="Calibri" w:cs="Arial"/>
        </w:rPr>
      </w:pPr>
      <w:r w:rsidRPr="004616CB">
        <w:rPr>
          <w:rFonts w:eastAsia="Calibri" w:cs="Arial"/>
        </w:rPr>
        <w:t>In the latter years of the 40 year Business Plan, HRA working balances begin to increase once again, enabl</w:t>
      </w:r>
      <w:r w:rsidR="00D31F40" w:rsidRPr="004616CB">
        <w:rPr>
          <w:rFonts w:eastAsia="Calibri" w:cs="Arial"/>
        </w:rPr>
        <w:t>ing</w:t>
      </w:r>
      <w:r w:rsidRPr="004616CB">
        <w:rPr>
          <w:rFonts w:eastAsia="Calibri" w:cs="Arial"/>
        </w:rPr>
        <w:t xml:space="preserve"> increased activity to be undertaken</w:t>
      </w:r>
      <w:r w:rsidR="00BD2F96">
        <w:rPr>
          <w:rFonts w:eastAsia="Calibri" w:cs="Arial"/>
        </w:rPr>
        <w:t>.</w:t>
      </w:r>
      <w:r w:rsidRPr="004616CB">
        <w:rPr>
          <w:rFonts w:eastAsia="Calibri" w:cs="Arial"/>
        </w:rPr>
        <w:t xml:space="preserve"> </w:t>
      </w:r>
    </w:p>
    <w:p w:rsidR="00D93703" w:rsidRPr="00D93703" w:rsidRDefault="00D93703" w:rsidP="0045662E">
      <w:pPr>
        <w:ind w:left="709" w:hanging="709"/>
        <w:rPr>
          <w:rFonts w:eastAsia="Calibri" w:cs="Arial"/>
          <w:highlight w:val="yellow"/>
        </w:rPr>
      </w:pPr>
    </w:p>
    <w:p w:rsidR="00B00CF9" w:rsidRPr="00000222" w:rsidRDefault="00B00CF9" w:rsidP="0045662E">
      <w:pPr>
        <w:pStyle w:val="ListParagraph"/>
        <w:ind w:left="709" w:hanging="709"/>
        <w:rPr>
          <w:rFonts w:eastAsia="Calibri" w:cs="Arial"/>
          <w:highlight w:val="yellow"/>
        </w:rPr>
      </w:pPr>
    </w:p>
    <w:p w:rsidR="00CB1092" w:rsidRPr="00155587" w:rsidRDefault="003362DC" w:rsidP="0045662E">
      <w:pPr>
        <w:ind w:left="709" w:hanging="709"/>
        <w:rPr>
          <w:rFonts w:cs="Arial"/>
        </w:rPr>
      </w:pPr>
      <w:r w:rsidRPr="00155587">
        <w:rPr>
          <w:rFonts w:eastAsia="Calibri" w:cs="Arial"/>
          <w:b/>
        </w:rPr>
        <w:t>Ke</w:t>
      </w:r>
      <w:r w:rsidR="00CB1092" w:rsidRPr="00155587">
        <w:rPr>
          <w:rFonts w:cs="Arial"/>
          <w:b/>
        </w:rPr>
        <w:t>y assumptions made in preparing the HRA budget</w:t>
      </w:r>
      <w:r w:rsidR="00CA168A" w:rsidRPr="00155587">
        <w:rPr>
          <w:rFonts w:cs="Arial"/>
          <w:b/>
        </w:rPr>
        <w:t xml:space="preserve"> for 20</w:t>
      </w:r>
      <w:r w:rsidR="00223741" w:rsidRPr="00155587">
        <w:rPr>
          <w:rFonts w:cs="Arial"/>
          <w:b/>
        </w:rPr>
        <w:t>2</w:t>
      </w:r>
      <w:r w:rsidR="00EF65FA">
        <w:rPr>
          <w:rFonts w:cs="Arial"/>
          <w:b/>
        </w:rPr>
        <w:t>1</w:t>
      </w:r>
      <w:r w:rsidR="00CA168A" w:rsidRPr="00155587">
        <w:rPr>
          <w:rFonts w:cs="Arial"/>
          <w:b/>
        </w:rPr>
        <w:t>/</w:t>
      </w:r>
      <w:r w:rsidR="00D34F3F" w:rsidRPr="00155587">
        <w:rPr>
          <w:rFonts w:cs="Arial"/>
          <w:b/>
        </w:rPr>
        <w:t>2</w:t>
      </w:r>
      <w:r w:rsidR="00EF65FA">
        <w:rPr>
          <w:rFonts w:cs="Arial"/>
          <w:b/>
        </w:rPr>
        <w:t>2</w:t>
      </w:r>
      <w:r w:rsidR="00CA168A" w:rsidRPr="00155587">
        <w:rPr>
          <w:rFonts w:cs="Arial"/>
          <w:b/>
        </w:rPr>
        <w:t xml:space="preserve"> – 20</w:t>
      </w:r>
      <w:r w:rsidR="00884460" w:rsidRPr="00155587">
        <w:rPr>
          <w:rFonts w:cs="Arial"/>
          <w:b/>
        </w:rPr>
        <w:t>2</w:t>
      </w:r>
      <w:r w:rsidR="00EF65FA">
        <w:rPr>
          <w:rFonts w:cs="Arial"/>
          <w:b/>
        </w:rPr>
        <w:t>4</w:t>
      </w:r>
      <w:r w:rsidR="005C674D" w:rsidRPr="00155587">
        <w:rPr>
          <w:rFonts w:cs="Arial"/>
          <w:b/>
        </w:rPr>
        <w:t>/2</w:t>
      </w:r>
      <w:r w:rsidR="00EF65FA">
        <w:rPr>
          <w:rFonts w:cs="Arial"/>
          <w:b/>
        </w:rPr>
        <w:t>5</w:t>
      </w:r>
      <w:r w:rsidR="00CB1092" w:rsidRPr="00155587">
        <w:rPr>
          <w:rFonts w:cs="Arial"/>
          <w:b/>
        </w:rPr>
        <w:t xml:space="preserve"> </w:t>
      </w:r>
      <w:r w:rsidR="00CB1092" w:rsidRPr="00155587">
        <w:rPr>
          <w:rFonts w:cs="Arial"/>
        </w:rPr>
        <w:t xml:space="preserve"> </w:t>
      </w:r>
    </w:p>
    <w:p w:rsidR="001F46D8" w:rsidRPr="00155587" w:rsidRDefault="001F46D8" w:rsidP="0045662E">
      <w:pPr>
        <w:ind w:left="709" w:hanging="709"/>
        <w:rPr>
          <w:rFonts w:cs="Arial"/>
        </w:rPr>
      </w:pPr>
    </w:p>
    <w:p w:rsidR="004F613C" w:rsidRDefault="004F613C" w:rsidP="007E34DD">
      <w:pPr>
        <w:pStyle w:val="ListParagraph"/>
        <w:numPr>
          <w:ilvl w:val="0"/>
          <w:numId w:val="55"/>
        </w:numPr>
        <w:ind w:left="709" w:hanging="709"/>
      </w:pPr>
      <w:r w:rsidRPr="004F613C">
        <w:rPr>
          <w:rFonts w:eastAsia="Calibri" w:cs="Arial"/>
        </w:rPr>
        <w:t>Under the Governments rent standard from 1</w:t>
      </w:r>
      <w:r w:rsidRPr="004F613C">
        <w:rPr>
          <w:rFonts w:eastAsia="Calibri" w:cs="Arial"/>
          <w:vertAlign w:val="superscript"/>
        </w:rPr>
        <w:t>st</w:t>
      </w:r>
      <w:r w:rsidRPr="004F613C">
        <w:rPr>
          <w:rFonts w:eastAsia="Calibri" w:cs="Arial"/>
        </w:rPr>
        <w:t xml:space="preserve"> April 2020 rent may only be   increased by CPI +1% for a period of </w:t>
      </w:r>
      <w:r w:rsidR="00076FD9">
        <w:rPr>
          <w:rFonts w:eastAsia="Calibri" w:cs="Arial"/>
        </w:rPr>
        <w:t>five</w:t>
      </w:r>
      <w:r w:rsidRPr="004F613C">
        <w:rPr>
          <w:rFonts w:eastAsia="Calibri" w:cs="Arial"/>
        </w:rPr>
        <w:t xml:space="preserve"> years for local authority and housing association social rents. 2021/22 </w:t>
      </w:r>
      <w:r w:rsidRPr="004F613C">
        <w:t xml:space="preserve">is in the </w:t>
      </w:r>
      <w:r w:rsidR="00076FD9">
        <w:t>second</w:t>
      </w:r>
      <w:r w:rsidRPr="004F613C">
        <w:t xml:space="preserve"> year of the rent standard and rent   for 2021/22 will be increased by CPI + 0.5% </w:t>
      </w:r>
      <w:r w:rsidR="000833D1" w:rsidRPr="004F613C">
        <w:t>i.e.</w:t>
      </w:r>
      <w:r w:rsidRPr="004F613C">
        <w:t xml:space="preserve"> 1.5% with 3% increases estimated for future years.  The effect on the weekly rents is as follows:</w:t>
      </w:r>
    </w:p>
    <w:p w:rsidR="00D5725F" w:rsidRDefault="00D5725F" w:rsidP="00D5725F">
      <w:pPr>
        <w:pStyle w:val="ListParagraph"/>
        <w:ind w:left="709"/>
      </w:pPr>
    </w:p>
    <w:p w:rsidR="004F613C" w:rsidRDefault="004F613C" w:rsidP="004F613C">
      <w:pPr>
        <w:pStyle w:val="ListParagraph"/>
        <w:ind w:left="1211"/>
      </w:pPr>
    </w:p>
    <w:tbl>
      <w:tblPr>
        <w:tblW w:w="8926" w:type="dxa"/>
        <w:tblLook w:val="04A0" w:firstRow="1" w:lastRow="0" w:firstColumn="1" w:lastColumn="0" w:noHBand="0" w:noVBand="1"/>
      </w:tblPr>
      <w:tblGrid>
        <w:gridCol w:w="3539"/>
        <w:gridCol w:w="1276"/>
        <w:gridCol w:w="1417"/>
        <w:gridCol w:w="1418"/>
        <w:gridCol w:w="1276"/>
      </w:tblGrid>
      <w:tr w:rsidR="004F613C" w:rsidRPr="00C91BE0" w:rsidTr="00D4699E">
        <w:trPr>
          <w:trHeight w:val="300"/>
        </w:trPr>
        <w:tc>
          <w:tcPr>
            <w:tcW w:w="8926" w:type="dxa"/>
            <w:gridSpan w:val="5"/>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4F613C" w:rsidRPr="00C91BE0" w:rsidRDefault="004F613C" w:rsidP="00F6402D">
            <w:pPr>
              <w:rPr>
                <w:rFonts w:ascii="Calibri" w:hAnsi="Calibri" w:cs="Calibri"/>
                <w:b/>
                <w:bCs/>
                <w:color w:val="000000"/>
                <w:sz w:val="22"/>
                <w:szCs w:val="22"/>
                <w:lang w:eastAsia="en-GB"/>
              </w:rPr>
            </w:pPr>
            <w:r>
              <w:rPr>
                <w:rFonts w:ascii="Calibri" w:hAnsi="Calibri" w:cs="Calibri"/>
                <w:b/>
                <w:bCs/>
                <w:color w:val="000000"/>
                <w:sz w:val="22"/>
                <w:szCs w:val="22"/>
                <w:lang w:eastAsia="en-GB"/>
              </w:rPr>
              <w:t>Table 1</w:t>
            </w:r>
            <w:r w:rsidR="00967143">
              <w:rPr>
                <w:rFonts w:ascii="Calibri" w:hAnsi="Calibri" w:cs="Calibri"/>
                <w:b/>
                <w:bCs/>
                <w:color w:val="000000"/>
                <w:sz w:val="22"/>
                <w:szCs w:val="22"/>
                <w:lang w:eastAsia="en-GB"/>
              </w:rPr>
              <w:t>3</w:t>
            </w:r>
            <w:r>
              <w:rPr>
                <w:rFonts w:ascii="Calibri" w:hAnsi="Calibri" w:cs="Calibri"/>
                <w:b/>
                <w:bCs/>
                <w:color w:val="000000"/>
                <w:sz w:val="22"/>
                <w:szCs w:val="22"/>
                <w:lang w:eastAsia="en-GB"/>
              </w:rPr>
              <w:t xml:space="preserve">  : </w:t>
            </w:r>
            <w:r w:rsidRPr="00C91BE0">
              <w:rPr>
                <w:rFonts w:ascii="Calibri" w:hAnsi="Calibri" w:cs="Calibri"/>
                <w:b/>
                <w:bCs/>
                <w:color w:val="000000"/>
                <w:sz w:val="22"/>
                <w:szCs w:val="22"/>
                <w:lang w:eastAsia="en-GB"/>
              </w:rPr>
              <w:t>Effect of Rent Changes on Average Rent 20</w:t>
            </w:r>
            <w:r>
              <w:rPr>
                <w:rFonts w:ascii="Calibri" w:hAnsi="Calibri" w:cs="Calibri"/>
                <w:b/>
                <w:bCs/>
                <w:color w:val="000000"/>
                <w:sz w:val="22"/>
                <w:szCs w:val="22"/>
                <w:lang w:eastAsia="en-GB"/>
              </w:rPr>
              <w:t>2</w:t>
            </w:r>
            <w:r w:rsidRPr="00C91BE0">
              <w:rPr>
                <w:rFonts w:ascii="Calibri" w:hAnsi="Calibri" w:cs="Calibri"/>
                <w:b/>
                <w:bCs/>
                <w:color w:val="000000"/>
                <w:sz w:val="22"/>
                <w:szCs w:val="22"/>
                <w:lang w:eastAsia="en-GB"/>
              </w:rPr>
              <w:t>1/22 to 2024/25</w:t>
            </w:r>
          </w:p>
        </w:tc>
      </w:tr>
      <w:tr w:rsidR="004F613C" w:rsidRPr="00C91BE0" w:rsidTr="00D4699E">
        <w:trPr>
          <w:trHeight w:val="870"/>
        </w:trPr>
        <w:tc>
          <w:tcPr>
            <w:tcW w:w="3539" w:type="dxa"/>
            <w:tcBorders>
              <w:top w:val="nil"/>
              <w:left w:val="single" w:sz="4" w:space="0" w:color="auto"/>
              <w:bottom w:val="single" w:sz="4" w:space="0" w:color="auto"/>
              <w:right w:val="single" w:sz="4" w:space="0" w:color="auto"/>
            </w:tcBorders>
            <w:shd w:val="clear" w:color="000000" w:fill="BFBFBF"/>
            <w:noWrap/>
            <w:vAlign w:val="bottom"/>
            <w:hideMark/>
          </w:tcPr>
          <w:p w:rsidR="004F613C" w:rsidRPr="00C91BE0" w:rsidRDefault="004F613C" w:rsidP="00D4699E">
            <w:pPr>
              <w:rPr>
                <w:rFonts w:ascii="Calibri" w:hAnsi="Calibri" w:cs="Calibri"/>
                <w:color w:val="000000"/>
                <w:sz w:val="22"/>
                <w:szCs w:val="22"/>
                <w:lang w:eastAsia="en-GB"/>
              </w:rPr>
            </w:pPr>
            <w:r w:rsidRPr="00C91BE0">
              <w:rPr>
                <w:rFonts w:ascii="Calibri" w:hAnsi="Calibri" w:cs="Calibri"/>
                <w:color w:val="000000"/>
                <w:sz w:val="22"/>
                <w:szCs w:val="22"/>
                <w:lang w:eastAsia="en-GB"/>
              </w:rPr>
              <w:t> </w:t>
            </w:r>
          </w:p>
        </w:tc>
        <w:tc>
          <w:tcPr>
            <w:tcW w:w="1276" w:type="dxa"/>
            <w:tcBorders>
              <w:top w:val="nil"/>
              <w:left w:val="nil"/>
              <w:bottom w:val="single" w:sz="4" w:space="0" w:color="auto"/>
              <w:right w:val="single" w:sz="4" w:space="0" w:color="auto"/>
            </w:tcBorders>
            <w:shd w:val="clear" w:color="000000" w:fill="BFBFBF"/>
            <w:vAlign w:val="bottom"/>
            <w:hideMark/>
          </w:tcPr>
          <w:p w:rsidR="004F613C" w:rsidRPr="00C91BE0" w:rsidRDefault="004F613C" w:rsidP="00D4699E">
            <w:pPr>
              <w:jc w:val="center"/>
              <w:rPr>
                <w:rFonts w:ascii="Calibri" w:hAnsi="Calibri" w:cs="Calibri"/>
                <w:sz w:val="22"/>
                <w:szCs w:val="22"/>
                <w:lang w:eastAsia="en-GB"/>
              </w:rPr>
            </w:pPr>
            <w:r w:rsidRPr="00C91BE0">
              <w:rPr>
                <w:rFonts w:ascii="Calibri" w:hAnsi="Calibri" w:cs="Calibri"/>
                <w:sz w:val="22"/>
                <w:szCs w:val="22"/>
                <w:lang w:eastAsia="en-GB"/>
              </w:rPr>
              <w:t>change</w:t>
            </w:r>
          </w:p>
        </w:tc>
        <w:tc>
          <w:tcPr>
            <w:tcW w:w="1417" w:type="dxa"/>
            <w:tcBorders>
              <w:top w:val="nil"/>
              <w:left w:val="nil"/>
              <w:bottom w:val="single" w:sz="4" w:space="0" w:color="auto"/>
              <w:right w:val="single" w:sz="4" w:space="0" w:color="auto"/>
            </w:tcBorders>
            <w:shd w:val="clear" w:color="000000" w:fill="BFBFBF"/>
            <w:vAlign w:val="bottom"/>
            <w:hideMark/>
          </w:tcPr>
          <w:p w:rsidR="004F613C" w:rsidRPr="00C91BE0" w:rsidRDefault="004F613C" w:rsidP="00D4699E">
            <w:pPr>
              <w:jc w:val="center"/>
              <w:rPr>
                <w:rFonts w:ascii="Calibri" w:hAnsi="Calibri" w:cs="Calibri"/>
                <w:sz w:val="22"/>
                <w:szCs w:val="22"/>
                <w:lang w:eastAsia="en-GB"/>
              </w:rPr>
            </w:pPr>
            <w:r w:rsidRPr="00C91BE0">
              <w:rPr>
                <w:rFonts w:ascii="Calibri" w:hAnsi="Calibri" w:cs="Calibri"/>
                <w:sz w:val="22"/>
                <w:szCs w:val="22"/>
                <w:lang w:eastAsia="en-GB"/>
              </w:rPr>
              <w:t>change</w:t>
            </w:r>
          </w:p>
        </w:tc>
        <w:tc>
          <w:tcPr>
            <w:tcW w:w="1418" w:type="dxa"/>
            <w:tcBorders>
              <w:top w:val="nil"/>
              <w:left w:val="nil"/>
              <w:bottom w:val="single" w:sz="4" w:space="0" w:color="auto"/>
              <w:right w:val="single" w:sz="4" w:space="0" w:color="auto"/>
            </w:tcBorders>
            <w:shd w:val="clear" w:color="000000" w:fill="BFBFBF"/>
            <w:vAlign w:val="bottom"/>
            <w:hideMark/>
          </w:tcPr>
          <w:p w:rsidR="004F613C" w:rsidRPr="00C91BE0" w:rsidRDefault="004F613C" w:rsidP="00D4699E">
            <w:pPr>
              <w:jc w:val="center"/>
              <w:rPr>
                <w:rFonts w:ascii="Calibri" w:hAnsi="Calibri" w:cs="Calibri"/>
                <w:sz w:val="22"/>
                <w:szCs w:val="22"/>
                <w:lang w:eastAsia="en-GB"/>
              </w:rPr>
            </w:pPr>
            <w:r w:rsidRPr="00C91BE0">
              <w:rPr>
                <w:rFonts w:ascii="Calibri" w:hAnsi="Calibri" w:cs="Calibri"/>
                <w:sz w:val="22"/>
                <w:szCs w:val="22"/>
                <w:lang w:eastAsia="en-GB"/>
              </w:rPr>
              <w:t>Average weekly rent</w:t>
            </w:r>
          </w:p>
        </w:tc>
        <w:tc>
          <w:tcPr>
            <w:tcW w:w="1276" w:type="dxa"/>
            <w:tcBorders>
              <w:top w:val="nil"/>
              <w:left w:val="nil"/>
              <w:bottom w:val="single" w:sz="4" w:space="0" w:color="auto"/>
              <w:right w:val="single" w:sz="4" w:space="0" w:color="auto"/>
            </w:tcBorders>
            <w:shd w:val="clear" w:color="000000" w:fill="BFBFBF"/>
            <w:vAlign w:val="bottom"/>
            <w:hideMark/>
          </w:tcPr>
          <w:p w:rsidR="004F613C" w:rsidRPr="00C91BE0" w:rsidRDefault="004F613C" w:rsidP="00D4699E">
            <w:pPr>
              <w:jc w:val="center"/>
              <w:rPr>
                <w:rFonts w:ascii="Calibri" w:hAnsi="Calibri" w:cs="Calibri"/>
                <w:sz w:val="22"/>
                <w:szCs w:val="22"/>
                <w:lang w:eastAsia="en-GB"/>
              </w:rPr>
            </w:pPr>
            <w:r w:rsidRPr="00C91BE0">
              <w:rPr>
                <w:rFonts w:ascii="Calibri" w:hAnsi="Calibri" w:cs="Calibri"/>
                <w:sz w:val="22"/>
                <w:szCs w:val="22"/>
                <w:lang w:eastAsia="en-GB"/>
              </w:rPr>
              <w:t>Formula weekly rent</w:t>
            </w:r>
          </w:p>
        </w:tc>
      </w:tr>
      <w:tr w:rsidR="004F613C" w:rsidRPr="00C91BE0" w:rsidTr="00D4699E">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4F613C" w:rsidRPr="00C91BE0" w:rsidRDefault="00D5725F" w:rsidP="00D4699E">
            <w:pPr>
              <w:rPr>
                <w:rFonts w:ascii="Calibri" w:hAnsi="Calibri" w:cs="Calibri"/>
                <w:color w:val="000000"/>
                <w:sz w:val="22"/>
                <w:szCs w:val="22"/>
                <w:lang w:eastAsia="en-GB"/>
              </w:rPr>
            </w:pPr>
            <w:r w:rsidRPr="00C91BE0">
              <w:rPr>
                <w:rFonts w:ascii="Calibri" w:hAnsi="Calibri" w:cs="Calibri"/>
                <w:color w:val="000000"/>
                <w:sz w:val="22"/>
                <w:szCs w:val="22"/>
                <w:lang w:eastAsia="en-GB"/>
              </w:rPr>
              <w:t>Y</w:t>
            </w:r>
            <w:r w:rsidR="004F613C" w:rsidRPr="00C91BE0">
              <w:rPr>
                <w:rFonts w:ascii="Calibri" w:hAnsi="Calibri" w:cs="Calibri"/>
                <w:color w:val="000000"/>
                <w:sz w:val="22"/>
                <w:szCs w:val="22"/>
                <w:lang w:eastAsia="en-GB"/>
              </w:rPr>
              <w:t>ear</w:t>
            </w:r>
          </w:p>
        </w:tc>
        <w:tc>
          <w:tcPr>
            <w:tcW w:w="1276" w:type="dxa"/>
            <w:tcBorders>
              <w:top w:val="nil"/>
              <w:left w:val="nil"/>
              <w:bottom w:val="single" w:sz="4" w:space="0" w:color="auto"/>
              <w:right w:val="single" w:sz="4" w:space="0" w:color="auto"/>
            </w:tcBorders>
            <w:shd w:val="clear" w:color="auto" w:fill="auto"/>
            <w:noWrap/>
            <w:vAlign w:val="bottom"/>
            <w:hideMark/>
          </w:tcPr>
          <w:p w:rsidR="004F613C" w:rsidRPr="00C91BE0" w:rsidRDefault="004F613C" w:rsidP="00D4699E">
            <w:pPr>
              <w:jc w:val="center"/>
              <w:rPr>
                <w:rFonts w:ascii="Calibri" w:hAnsi="Calibri" w:cs="Calibri"/>
                <w:color w:val="000000"/>
                <w:sz w:val="22"/>
                <w:szCs w:val="22"/>
                <w:lang w:eastAsia="en-GB"/>
              </w:rPr>
            </w:pPr>
            <w:r w:rsidRPr="00C91BE0">
              <w:rPr>
                <w:rFonts w:ascii="Calibri" w:hAnsi="Calibri" w:cs="Calibri"/>
                <w:color w:val="000000"/>
                <w:sz w:val="22"/>
                <w:szCs w:val="22"/>
                <w:lang w:eastAsia="en-GB"/>
              </w:rPr>
              <w:t>%</w:t>
            </w:r>
          </w:p>
        </w:tc>
        <w:tc>
          <w:tcPr>
            <w:tcW w:w="1417" w:type="dxa"/>
            <w:tcBorders>
              <w:top w:val="nil"/>
              <w:left w:val="nil"/>
              <w:bottom w:val="single" w:sz="4" w:space="0" w:color="auto"/>
              <w:right w:val="single" w:sz="4" w:space="0" w:color="auto"/>
            </w:tcBorders>
            <w:shd w:val="clear" w:color="auto" w:fill="auto"/>
            <w:noWrap/>
            <w:vAlign w:val="bottom"/>
            <w:hideMark/>
          </w:tcPr>
          <w:p w:rsidR="004F613C" w:rsidRPr="00C91BE0" w:rsidRDefault="004F613C" w:rsidP="00D4699E">
            <w:pPr>
              <w:jc w:val="center"/>
              <w:rPr>
                <w:rFonts w:ascii="Calibri" w:hAnsi="Calibri" w:cs="Calibri"/>
                <w:color w:val="000000"/>
                <w:sz w:val="22"/>
                <w:szCs w:val="22"/>
                <w:lang w:eastAsia="en-GB"/>
              </w:rPr>
            </w:pPr>
            <w:r w:rsidRPr="00C91BE0">
              <w:rPr>
                <w:rFonts w:ascii="Calibri" w:hAnsi="Calibri" w:cs="Calibri"/>
                <w:color w:val="000000"/>
                <w:sz w:val="22"/>
                <w:szCs w:val="22"/>
                <w:lang w:eastAsia="en-GB"/>
              </w:rPr>
              <w:t>£</w:t>
            </w:r>
          </w:p>
        </w:tc>
        <w:tc>
          <w:tcPr>
            <w:tcW w:w="1418" w:type="dxa"/>
            <w:tcBorders>
              <w:top w:val="nil"/>
              <w:left w:val="nil"/>
              <w:bottom w:val="single" w:sz="4" w:space="0" w:color="auto"/>
              <w:right w:val="single" w:sz="4" w:space="0" w:color="auto"/>
            </w:tcBorders>
            <w:shd w:val="clear" w:color="auto" w:fill="auto"/>
            <w:noWrap/>
            <w:vAlign w:val="bottom"/>
            <w:hideMark/>
          </w:tcPr>
          <w:p w:rsidR="004F613C" w:rsidRPr="00C91BE0" w:rsidRDefault="004F613C" w:rsidP="00D4699E">
            <w:pPr>
              <w:jc w:val="center"/>
              <w:rPr>
                <w:rFonts w:ascii="Calibri" w:hAnsi="Calibri" w:cs="Calibri"/>
                <w:color w:val="000000"/>
                <w:sz w:val="22"/>
                <w:szCs w:val="22"/>
                <w:lang w:eastAsia="en-GB"/>
              </w:rPr>
            </w:pPr>
            <w:r w:rsidRPr="00C91BE0">
              <w:rPr>
                <w:rFonts w:ascii="Calibri" w:hAnsi="Calibri" w:cs="Calibri"/>
                <w:color w:val="000000"/>
                <w:sz w:val="22"/>
                <w:szCs w:val="22"/>
                <w:lang w:eastAsia="en-GB"/>
              </w:rPr>
              <w:t>£</w:t>
            </w:r>
          </w:p>
        </w:tc>
        <w:tc>
          <w:tcPr>
            <w:tcW w:w="1276" w:type="dxa"/>
            <w:tcBorders>
              <w:top w:val="nil"/>
              <w:left w:val="nil"/>
              <w:bottom w:val="single" w:sz="4" w:space="0" w:color="auto"/>
              <w:right w:val="single" w:sz="4" w:space="0" w:color="auto"/>
            </w:tcBorders>
            <w:shd w:val="clear" w:color="auto" w:fill="auto"/>
            <w:noWrap/>
            <w:vAlign w:val="bottom"/>
            <w:hideMark/>
          </w:tcPr>
          <w:p w:rsidR="004F613C" w:rsidRPr="00C91BE0" w:rsidRDefault="004F613C" w:rsidP="00D4699E">
            <w:pPr>
              <w:jc w:val="center"/>
              <w:rPr>
                <w:rFonts w:ascii="Calibri" w:hAnsi="Calibri" w:cs="Calibri"/>
                <w:color w:val="000000"/>
                <w:sz w:val="22"/>
                <w:szCs w:val="22"/>
                <w:lang w:eastAsia="en-GB"/>
              </w:rPr>
            </w:pPr>
            <w:r w:rsidRPr="00C91BE0">
              <w:rPr>
                <w:rFonts w:ascii="Calibri" w:hAnsi="Calibri" w:cs="Calibri"/>
                <w:color w:val="000000"/>
                <w:sz w:val="22"/>
                <w:szCs w:val="22"/>
                <w:lang w:eastAsia="en-GB"/>
              </w:rPr>
              <w:t>£</w:t>
            </w:r>
          </w:p>
        </w:tc>
      </w:tr>
      <w:tr w:rsidR="004F613C" w:rsidRPr="00C91BE0" w:rsidTr="00D4699E">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4F613C" w:rsidRPr="00C91BE0" w:rsidRDefault="004F613C" w:rsidP="00D4699E">
            <w:pPr>
              <w:rPr>
                <w:rFonts w:ascii="Calibri" w:hAnsi="Calibri" w:cs="Calibri"/>
                <w:color w:val="000000"/>
                <w:sz w:val="22"/>
                <w:szCs w:val="22"/>
                <w:lang w:eastAsia="en-GB"/>
              </w:rPr>
            </w:pPr>
            <w:r w:rsidRPr="00C91BE0">
              <w:rPr>
                <w:rFonts w:ascii="Calibri" w:hAnsi="Calibri" w:cs="Calibri"/>
                <w:color w:val="000000"/>
                <w:sz w:val="22"/>
                <w:szCs w:val="22"/>
                <w:lang w:eastAsia="en-GB"/>
              </w:rPr>
              <w:t>2021/22</w:t>
            </w:r>
          </w:p>
        </w:tc>
        <w:tc>
          <w:tcPr>
            <w:tcW w:w="1276" w:type="dxa"/>
            <w:tcBorders>
              <w:top w:val="nil"/>
              <w:left w:val="nil"/>
              <w:bottom w:val="single" w:sz="4" w:space="0" w:color="auto"/>
              <w:right w:val="single" w:sz="4" w:space="0" w:color="auto"/>
            </w:tcBorders>
            <w:shd w:val="clear" w:color="auto" w:fill="auto"/>
            <w:noWrap/>
            <w:vAlign w:val="bottom"/>
            <w:hideMark/>
          </w:tcPr>
          <w:p w:rsidR="004F613C" w:rsidRPr="00C91BE0" w:rsidRDefault="004F613C" w:rsidP="00D4699E">
            <w:pPr>
              <w:jc w:val="right"/>
              <w:rPr>
                <w:rFonts w:ascii="Calibri" w:hAnsi="Calibri" w:cs="Calibri"/>
                <w:color w:val="000000"/>
                <w:sz w:val="22"/>
                <w:szCs w:val="22"/>
                <w:lang w:eastAsia="en-GB"/>
              </w:rPr>
            </w:pPr>
            <w:r w:rsidRPr="00C91BE0">
              <w:rPr>
                <w:rFonts w:ascii="Calibri" w:hAnsi="Calibri" w:cs="Calibri"/>
                <w:color w:val="000000"/>
                <w:sz w:val="22"/>
                <w:szCs w:val="22"/>
                <w:lang w:eastAsia="en-GB"/>
              </w:rPr>
              <w:t>1.5%</w:t>
            </w:r>
          </w:p>
        </w:tc>
        <w:tc>
          <w:tcPr>
            <w:tcW w:w="1417" w:type="dxa"/>
            <w:tcBorders>
              <w:top w:val="nil"/>
              <w:left w:val="nil"/>
              <w:bottom w:val="single" w:sz="4" w:space="0" w:color="auto"/>
              <w:right w:val="single" w:sz="4" w:space="0" w:color="auto"/>
            </w:tcBorders>
            <w:shd w:val="clear" w:color="auto" w:fill="auto"/>
            <w:noWrap/>
            <w:vAlign w:val="bottom"/>
            <w:hideMark/>
          </w:tcPr>
          <w:p w:rsidR="004F613C" w:rsidRPr="00C91BE0" w:rsidRDefault="004F613C" w:rsidP="00D4699E">
            <w:pPr>
              <w:jc w:val="right"/>
              <w:rPr>
                <w:rFonts w:ascii="Calibri" w:hAnsi="Calibri" w:cs="Calibri"/>
                <w:color w:val="000000"/>
                <w:sz w:val="22"/>
                <w:szCs w:val="22"/>
                <w:lang w:eastAsia="en-GB"/>
              </w:rPr>
            </w:pPr>
            <w:r w:rsidRPr="00C91BE0">
              <w:rPr>
                <w:rFonts w:ascii="Calibri" w:hAnsi="Calibri" w:cs="Calibri"/>
                <w:color w:val="000000"/>
                <w:sz w:val="22"/>
                <w:szCs w:val="22"/>
                <w:lang w:eastAsia="en-GB"/>
              </w:rPr>
              <w:t>1.57</w:t>
            </w:r>
          </w:p>
        </w:tc>
        <w:tc>
          <w:tcPr>
            <w:tcW w:w="1418" w:type="dxa"/>
            <w:tcBorders>
              <w:top w:val="nil"/>
              <w:left w:val="nil"/>
              <w:bottom w:val="single" w:sz="4" w:space="0" w:color="auto"/>
              <w:right w:val="single" w:sz="4" w:space="0" w:color="auto"/>
            </w:tcBorders>
            <w:shd w:val="clear" w:color="auto" w:fill="auto"/>
            <w:noWrap/>
            <w:vAlign w:val="bottom"/>
            <w:hideMark/>
          </w:tcPr>
          <w:p w:rsidR="004F613C" w:rsidRPr="00C91BE0" w:rsidRDefault="004F613C" w:rsidP="00D4699E">
            <w:pPr>
              <w:jc w:val="right"/>
              <w:rPr>
                <w:rFonts w:ascii="Calibri" w:hAnsi="Calibri" w:cs="Calibri"/>
                <w:color w:val="000000"/>
                <w:sz w:val="22"/>
                <w:szCs w:val="22"/>
                <w:lang w:eastAsia="en-GB"/>
              </w:rPr>
            </w:pPr>
            <w:r w:rsidRPr="00C91BE0">
              <w:rPr>
                <w:rFonts w:ascii="Calibri" w:hAnsi="Calibri" w:cs="Calibri"/>
                <w:color w:val="000000"/>
                <w:sz w:val="22"/>
                <w:szCs w:val="22"/>
                <w:lang w:eastAsia="en-GB"/>
              </w:rPr>
              <w:t>107.03</w:t>
            </w:r>
          </w:p>
        </w:tc>
        <w:tc>
          <w:tcPr>
            <w:tcW w:w="1276" w:type="dxa"/>
            <w:tcBorders>
              <w:top w:val="nil"/>
              <w:left w:val="nil"/>
              <w:bottom w:val="single" w:sz="4" w:space="0" w:color="auto"/>
              <w:right w:val="single" w:sz="4" w:space="0" w:color="auto"/>
            </w:tcBorders>
            <w:shd w:val="clear" w:color="auto" w:fill="auto"/>
            <w:noWrap/>
            <w:vAlign w:val="bottom"/>
            <w:hideMark/>
          </w:tcPr>
          <w:p w:rsidR="004F613C" w:rsidRPr="00C91BE0" w:rsidRDefault="004F613C" w:rsidP="00D4699E">
            <w:pPr>
              <w:jc w:val="right"/>
              <w:rPr>
                <w:rFonts w:ascii="Calibri" w:hAnsi="Calibri" w:cs="Calibri"/>
                <w:color w:val="000000"/>
                <w:sz w:val="22"/>
                <w:szCs w:val="22"/>
                <w:lang w:eastAsia="en-GB"/>
              </w:rPr>
            </w:pPr>
            <w:r w:rsidRPr="00C91BE0">
              <w:rPr>
                <w:rFonts w:ascii="Calibri" w:hAnsi="Calibri" w:cs="Calibri"/>
                <w:color w:val="000000"/>
                <w:sz w:val="22"/>
                <w:szCs w:val="22"/>
                <w:lang w:eastAsia="en-GB"/>
              </w:rPr>
              <w:t>111.91</w:t>
            </w:r>
          </w:p>
        </w:tc>
      </w:tr>
      <w:tr w:rsidR="004F613C" w:rsidRPr="00C91BE0" w:rsidTr="00D4699E">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4F613C" w:rsidRPr="00C91BE0" w:rsidRDefault="004F613C" w:rsidP="00D4699E">
            <w:pPr>
              <w:rPr>
                <w:rFonts w:ascii="Calibri" w:hAnsi="Calibri" w:cs="Calibri"/>
                <w:color w:val="000000"/>
                <w:sz w:val="22"/>
                <w:szCs w:val="22"/>
                <w:lang w:eastAsia="en-GB"/>
              </w:rPr>
            </w:pPr>
            <w:r w:rsidRPr="00C91BE0">
              <w:rPr>
                <w:rFonts w:ascii="Calibri" w:hAnsi="Calibri" w:cs="Calibri"/>
                <w:color w:val="000000"/>
                <w:sz w:val="22"/>
                <w:szCs w:val="22"/>
                <w:lang w:eastAsia="en-GB"/>
              </w:rPr>
              <w:t>2022/23</w:t>
            </w:r>
          </w:p>
        </w:tc>
        <w:tc>
          <w:tcPr>
            <w:tcW w:w="1276" w:type="dxa"/>
            <w:tcBorders>
              <w:top w:val="nil"/>
              <w:left w:val="nil"/>
              <w:bottom w:val="single" w:sz="4" w:space="0" w:color="auto"/>
              <w:right w:val="single" w:sz="4" w:space="0" w:color="auto"/>
            </w:tcBorders>
            <w:shd w:val="clear" w:color="auto" w:fill="auto"/>
            <w:noWrap/>
            <w:vAlign w:val="bottom"/>
            <w:hideMark/>
          </w:tcPr>
          <w:p w:rsidR="004F613C" w:rsidRPr="00C91BE0" w:rsidRDefault="004F613C" w:rsidP="00D4699E">
            <w:pPr>
              <w:jc w:val="right"/>
              <w:rPr>
                <w:rFonts w:ascii="Calibri" w:hAnsi="Calibri" w:cs="Calibri"/>
                <w:color w:val="000000"/>
                <w:sz w:val="22"/>
                <w:szCs w:val="22"/>
                <w:lang w:eastAsia="en-GB"/>
              </w:rPr>
            </w:pPr>
            <w:r w:rsidRPr="00C91BE0">
              <w:rPr>
                <w:rFonts w:ascii="Calibri" w:hAnsi="Calibri" w:cs="Calibri"/>
                <w:color w:val="000000"/>
                <w:sz w:val="22"/>
                <w:szCs w:val="22"/>
                <w:lang w:eastAsia="en-GB"/>
              </w:rPr>
              <w:t>3.0%</w:t>
            </w:r>
          </w:p>
        </w:tc>
        <w:tc>
          <w:tcPr>
            <w:tcW w:w="1417" w:type="dxa"/>
            <w:tcBorders>
              <w:top w:val="nil"/>
              <w:left w:val="nil"/>
              <w:bottom w:val="single" w:sz="4" w:space="0" w:color="auto"/>
              <w:right w:val="single" w:sz="4" w:space="0" w:color="auto"/>
            </w:tcBorders>
            <w:shd w:val="clear" w:color="auto" w:fill="auto"/>
            <w:noWrap/>
            <w:vAlign w:val="bottom"/>
            <w:hideMark/>
          </w:tcPr>
          <w:p w:rsidR="004F613C" w:rsidRPr="00C91BE0" w:rsidRDefault="004F613C" w:rsidP="00D4699E">
            <w:pPr>
              <w:jc w:val="right"/>
              <w:rPr>
                <w:rFonts w:ascii="Calibri" w:hAnsi="Calibri" w:cs="Calibri"/>
                <w:color w:val="000000"/>
                <w:sz w:val="22"/>
                <w:szCs w:val="22"/>
                <w:lang w:eastAsia="en-GB"/>
              </w:rPr>
            </w:pPr>
            <w:r w:rsidRPr="00C91BE0">
              <w:rPr>
                <w:rFonts w:ascii="Calibri" w:hAnsi="Calibri" w:cs="Calibri"/>
                <w:color w:val="000000"/>
                <w:sz w:val="22"/>
                <w:szCs w:val="22"/>
                <w:lang w:eastAsia="en-GB"/>
              </w:rPr>
              <w:t>3.18</w:t>
            </w:r>
          </w:p>
        </w:tc>
        <w:tc>
          <w:tcPr>
            <w:tcW w:w="1418" w:type="dxa"/>
            <w:tcBorders>
              <w:top w:val="nil"/>
              <w:left w:val="nil"/>
              <w:bottom w:val="single" w:sz="4" w:space="0" w:color="auto"/>
              <w:right w:val="single" w:sz="4" w:space="0" w:color="auto"/>
            </w:tcBorders>
            <w:shd w:val="clear" w:color="auto" w:fill="auto"/>
            <w:noWrap/>
            <w:vAlign w:val="bottom"/>
            <w:hideMark/>
          </w:tcPr>
          <w:p w:rsidR="004F613C" w:rsidRPr="00C91BE0" w:rsidRDefault="004F613C" w:rsidP="00D4699E">
            <w:pPr>
              <w:jc w:val="right"/>
              <w:rPr>
                <w:rFonts w:ascii="Calibri" w:hAnsi="Calibri" w:cs="Calibri"/>
                <w:color w:val="000000"/>
                <w:sz w:val="22"/>
                <w:szCs w:val="22"/>
                <w:lang w:eastAsia="en-GB"/>
              </w:rPr>
            </w:pPr>
            <w:r w:rsidRPr="00C91BE0">
              <w:rPr>
                <w:rFonts w:ascii="Calibri" w:hAnsi="Calibri" w:cs="Calibri"/>
                <w:color w:val="000000"/>
                <w:sz w:val="22"/>
                <w:szCs w:val="22"/>
                <w:lang w:eastAsia="en-GB"/>
              </w:rPr>
              <w:t>110.21</w:t>
            </w:r>
          </w:p>
        </w:tc>
        <w:tc>
          <w:tcPr>
            <w:tcW w:w="1276" w:type="dxa"/>
            <w:tcBorders>
              <w:top w:val="nil"/>
              <w:left w:val="nil"/>
              <w:bottom w:val="single" w:sz="4" w:space="0" w:color="auto"/>
              <w:right w:val="single" w:sz="4" w:space="0" w:color="auto"/>
            </w:tcBorders>
            <w:shd w:val="clear" w:color="auto" w:fill="auto"/>
            <w:noWrap/>
            <w:vAlign w:val="bottom"/>
            <w:hideMark/>
          </w:tcPr>
          <w:p w:rsidR="004F613C" w:rsidRPr="00C91BE0" w:rsidRDefault="004F613C" w:rsidP="00D4699E">
            <w:pPr>
              <w:jc w:val="right"/>
              <w:rPr>
                <w:rFonts w:ascii="Calibri" w:hAnsi="Calibri" w:cs="Calibri"/>
                <w:color w:val="000000"/>
                <w:sz w:val="22"/>
                <w:szCs w:val="22"/>
                <w:lang w:eastAsia="en-GB"/>
              </w:rPr>
            </w:pPr>
            <w:r w:rsidRPr="00C91BE0">
              <w:rPr>
                <w:rFonts w:ascii="Calibri" w:hAnsi="Calibri" w:cs="Calibri"/>
                <w:color w:val="000000"/>
                <w:sz w:val="22"/>
                <w:szCs w:val="22"/>
                <w:lang w:eastAsia="en-GB"/>
              </w:rPr>
              <w:t>115.27</w:t>
            </w:r>
          </w:p>
        </w:tc>
      </w:tr>
      <w:tr w:rsidR="004F613C" w:rsidRPr="00C91BE0" w:rsidTr="00D4699E">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4F613C" w:rsidRPr="00C91BE0" w:rsidRDefault="004F613C" w:rsidP="00D4699E">
            <w:pPr>
              <w:rPr>
                <w:rFonts w:ascii="Calibri" w:hAnsi="Calibri" w:cs="Calibri"/>
                <w:color w:val="000000"/>
                <w:sz w:val="22"/>
                <w:szCs w:val="22"/>
                <w:lang w:eastAsia="en-GB"/>
              </w:rPr>
            </w:pPr>
            <w:r w:rsidRPr="00C91BE0">
              <w:rPr>
                <w:rFonts w:ascii="Calibri" w:hAnsi="Calibri" w:cs="Calibri"/>
                <w:color w:val="000000"/>
                <w:sz w:val="22"/>
                <w:szCs w:val="22"/>
                <w:lang w:eastAsia="en-GB"/>
              </w:rPr>
              <w:t>2023/24</w:t>
            </w:r>
          </w:p>
        </w:tc>
        <w:tc>
          <w:tcPr>
            <w:tcW w:w="1276" w:type="dxa"/>
            <w:tcBorders>
              <w:top w:val="nil"/>
              <w:left w:val="nil"/>
              <w:bottom w:val="single" w:sz="4" w:space="0" w:color="auto"/>
              <w:right w:val="single" w:sz="4" w:space="0" w:color="auto"/>
            </w:tcBorders>
            <w:shd w:val="clear" w:color="auto" w:fill="auto"/>
            <w:noWrap/>
            <w:vAlign w:val="bottom"/>
            <w:hideMark/>
          </w:tcPr>
          <w:p w:rsidR="004F613C" w:rsidRPr="00C91BE0" w:rsidRDefault="004F613C" w:rsidP="00D4699E">
            <w:pPr>
              <w:jc w:val="right"/>
              <w:rPr>
                <w:rFonts w:ascii="Calibri" w:hAnsi="Calibri" w:cs="Calibri"/>
                <w:color w:val="000000"/>
                <w:sz w:val="22"/>
                <w:szCs w:val="22"/>
                <w:lang w:eastAsia="en-GB"/>
              </w:rPr>
            </w:pPr>
            <w:r w:rsidRPr="00C91BE0">
              <w:rPr>
                <w:rFonts w:ascii="Calibri" w:hAnsi="Calibri" w:cs="Calibri"/>
                <w:color w:val="000000"/>
                <w:sz w:val="22"/>
                <w:szCs w:val="22"/>
                <w:lang w:eastAsia="en-GB"/>
              </w:rPr>
              <w:t>3.0%</w:t>
            </w:r>
          </w:p>
        </w:tc>
        <w:tc>
          <w:tcPr>
            <w:tcW w:w="1417" w:type="dxa"/>
            <w:tcBorders>
              <w:top w:val="nil"/>
              <w:left w:val="nil"/>
              <w:bottom w:val="single" w:sz="4" w:space="0" w:color="auto"/>
              <w:right w:val="single" w:sz="4" w:space="0" w:color="auto"/>
            </w:tcBorders>
            <w:shd w:val="clear" w:color="auto" w:fill="auto"/>
            <w:noWrap/>
            <w:vAlign w:val="bottom"/>
            <w:hideMark/>
          </w:tcPr>
          <w:p w:rsidR="004F613C" w:rsidRPr="00C91BE0" w:rsidRDefault="004F613C" w:rsidP="00D4699E">
            <w:pPr>
              <w:jc w:val="right"/>
              <w:rPr>
                <w:rFonts w:ascii="Calibri" w:hAnsi="Calibri" w:cs="Calibri"/>
                <w:color w:val="000000"/>
                <w:sz w:val="22"/>
                <w:szCs w:val="22"/>
                <w:lang w:eastAsia="en-GB"/>
              </w:rPr>
            </w:pPr>
            <w:r w:rsidRPr="00C91BE0">
              <w:rPr>
                <w:rFonts w:ascii="Calibri" w:hAnsi="Calibri" w:cs="Calibri"/>
                <w:color w:val="000000"/>
                <w:sz w:val="22"/>
                <w:szCs w:val="22"/>
                <w:lang w:eastAsia="en-GB"/>
              </w:rPr>
              <w:t>3.28</w:t>
            </w:r>
          </w:p>
        </w:tc>
        <w:tc>
          <w:tcPr>
            <w:tcW w:w="1418" w:type="dxa"/>
            <w:tcBorders>
              <w:top w:val="nil"/>
              <w:left w:val="nil"/>
              <w:bottom w:val="single" w:sz="4" w:space="0" w:color="auto"/>
              <w:right w:val="single" w:sz="4" w:space="0" w:color="auto"/>
            </w:tcBorders>
            <w:shd w:val="clear" w:color="auto" w:fill="auto"/>
            <w:noWrap/>
            <w:vAlign w:val="bottom"/>
            <w:hideMark/>
          </w:tcPr>
          <w:p w:rsidR="004F613C" w:rsidRPr="00C91BE0" w:rsidRDefault="004F613C" w:rsidP="00D4699E">
            <w:pPr>
              <w:jc w:val="right"/>
              <w:rPr>
                <w:rFonts w:ascii="Calibri" w:hAnsi="Calibri" w:cs="Calibri"/>
                <w:color w:val="000000"/>
                <w:sz w:val="22"/>
                <w:szCs w:val="22"/>
                <w:lang w:eastAsia="en-GB"/>
              </w:rPr>
            </w:pPr>
            <w:r w:rsidRPr="00C91BE0">
              <w:rPr>
                <w:rFonts w:ascii="Calibri" w:hAnsi="Calibri" w:cs="Calibri"/>
                <w:color w:val="000000"/>
                <w:sz w:val="22"/>
                <w:szCs w:val="22"/>
                <w:lang w:eastAsia="en-GB"/>
              </w:rPr>
              <w:t>113.49</w:t>
            </w:r>
          </w:p>
        </w:tc>
        <w:tc>
          <w:tcPr>
            <w:tcW w:w="1276" w:type="dxa"/>
            <w:tcBorders>
              <w:top w:val="nil"/>
              <w:left w:val="nil"/>
              <w:bottom w:val="single" w:sz="4" w:space="0" w:color="auto"/>
              <w:right w:val="single" w:sz="4" w:space="0" w:color="auto"/>
            </w:tcBorders>
            <w:shd w:val="clear" w:color="auto" w:fill="auto"/>
            <w:noWrap/>
            <w:vAlign w:val="bottom"/>
            <w:hideMark/>
          </w:tcPr>
          <w:p w:rsidR="004F613C" w:rsidRPr="00C91BE0" w:rsidRDefault="004F613C" w:rsidP="00D4699E">
            <w:pPr>
              <w:jc w:val="right"/>
              <w:rPr>
                <w:rFonts w:ascii="Calibri" w:hAnsi="Calibri" w:cs="Calibri"/>
                <w:color w:val="000000"/>
                <w:sz w:val="22"/>
                <w:szCs w:val="22"/>
                <w:lang w:eastAsia="en-GB"/>
              </w:rPr>
            </w:pPr>
            <w:r w:rsidRPr="00C91BE0">
              <w:rPr>
                <w:rFonts w:ascii="Calibri" w:hAnsi="Calibri" w:cs="Calibri"/>
                <w:color w:val="000000"/>
                <w:sz w:val="22"/>
                <w:szCs w:val="22"/>
                <w:lang w:eastAsia="en-GB"/>
              </w:rPr>
              <w:t>118.73</w:t>
            </w:r>
          </w:p>
        </w:tc>
      </w:tr>
      <w:tr w:rsidR="004F613C" w:rsidRPr="00C91BE0" w:rsidTr="00D4699E">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4F613C" w:rsidRPr="00C91BE0" w:rsidRDefault="004F613C" w:rsidP="00D4699E">
            <w:pPr>
              <w:rPr>
                <w:rFonts w:ascii="Calibri" w:hAnsi="Calibri" w:cs="Calibri"/>
                <w:color w:val="000000"/>
                <w:sz w:val="22"/>
                <w:szCs w:val="22"/>
                <w:lang w:eastAsia="en-GB"/>
              </w:rPr>
            </w:pPr>
            <w:r w:rsidRPr="00C91BE0">
              <w:rPr>
                <w:rFonts w:ascii="Calibri" w:hAnsi="Calibri" w:cs="Calibri"/>
                <w:color w:val="000000"/>
                <w:sz w:val="22"/>
                <w:szCs w:val="22"/>
                <w:lang w:eastAsia="en-GB"/>
              </w:rPr>
              <w:t>2024/25</w:t>
            </w:r>
          </w:p>
        </w:tc>
        <w:tc>
          <w:tcPr>
            <w:tcW w:w="1276" w:type="dxa"/>
            <w:tcBorders>
              <w:top w:val="nil"/>
              <w:left w:val="nil"/>
              <w:bottom w:val="single" w:sz="4" w:space="0" w:color="auto"/>
              <w:right w:val="single" w:sz="4" w:space="0" w:color="auto"/>
            </w:tcBorders>
            <w:shd w:val="clear" w:color="auto" w:fill="auto"/>
            <w:noWrap/>
            <w:vAlign w:val="bottom"/>
            <w:hideMark/>
          </w:tcPr>
          <w:p w:rsidR="004F613C" w:rsidRPr="00C91BE0" w:rsidRDefault="004F613C" w:rsidP="00D4699E">
            <w:pPr>
              <w:jc w:val="right"/>
              <w:rPr>
                <w:rFonts w:ascii="Calibri" w:hAnsi="Calibri" w:cs="Calibri"/>
                <w:color w:val="000000"/>
                <w:sz w:val="22"/>
                <w:szCs w:val="22"/>
                <w:lang w:eastAsia="en-GB"/>
              </w:rPr>
            </w:pPr>
            <w:r w:rsidRPr="00C91BE0">
              <w:rPr>
                <w:rFonts w:ascii="Calibri" w:hAnsi="Calibri" w:cs="Calibri"/>
                <w:color w:val="000000"/>
                <w:sz w:val="22"/>
                <w:szCs w:val="22"/>
                <w:lang w:eastAsia="en-GB"/>
              </w:rPr>
              <w:t>3.0%</w:t>
            </w:r>
          </w:p>
        </w:tc>
        <w:tc>
          <w:tcPr>
            <w:tcW w:w="1417" w:type="dxa"/>
            <w:tcBorders>
              <w:top w:val="nil"/>
              <w:left w:val="nil"/>
              <w:bottom w:val="single" w:sz="4" w:space="0" w:color="auto"/>
              <w:right w:val="single" w:sz="4" w:space="0" w:color="auto"/>
            </w:tcBorders>
            <w:shd w:val="clear" w:color="auto" w:fill="auto"/>
            <w:noWrap/>
            <w:vAlign w:val="bottom"/>
            <w:hideMark/>
          </w:tcPr>
          <w:p w:rsidR="004F613C" w:rsidRPr="00C91BE0" w:rsidRDefault="004F613C" w:rsidP="00D4699E">
            <w:pPr>
              <w:jc w:val="right"/>
              <w:rPr>
                <w:rFonts w:ascii="Calibri" w:hAnsi="Calibri" w:cs="Calibri"/>
                <w:color w:val="000000"/>
                <w:sz w:val="22"/>
                <w:szCs w:val="22"/>
                <w:lang w:eastAsia="en-GB"/>
              </w:rPr>
            </w:pPr>
            <w:r w:rsidRPr="00C91BE0">
              <w:rPr>
                <w:rFonts w:ascii="Calibri" w:hAnsi="Calibri" w:cs="Calibri"/>
                <w:color w:val="000000"/>
                <w:sz w:val="22"/>
                <w:szCs w:val="22"/>
                <w:lang w:eastAsia="en-GB"/>
              </w:rPr>
              <w:t>3.38</w:t>
            </w:r>
          </w:p>
        </w:tc>
        <w:tc>
          <w:tcPr>
            <w:tcW w:w="1418" w:type="dxa"/>
            <w:tcBorders>
              <w:top w:val="nil"/>
              <w:left w:val="nil"/>
              <w:bottom w:val="single" w:sz="4" w:space="0" w:color="auto"/>
              <w:right w:val="single" w:sz="4" w:space="0" w:color="auto"/>
            </w:tcBorders>
            <w:shd w:val="clear" w:color="auto" w:fill="auto"/>
            <w:noWrap/>
            <w:vAlign w:val="bottom"/>
            <w:hideMark/>
          </w:tcPr>
          <w:p w:rsidR="004F613C" w:rsidRPr="00C91BE0" w:rsidRDefault="004F613C" w:rsidP="00D4699E">
            <w:pPr>
              <w:jc w:val="right"/>
              <w:rPr>
                <w:rFonts w:ascii="Calibri" w:hAnsi="Calibri" w:cs="Calibri"/>
                <w:color w:val="000000"/>
                <w:sz w:val="22"/>
                <w:szCs w:val="22"/>
                <w:lang w:eastAsia="en-GB"/>
              </w:rPr>
            </w:pPr>
            <w:r w:rsidRPr="00C91BE0">
              <w:rPr>
                <w:rFonts w:ascii="Calibri" w:hAnsi="Calibri" w:cs="Calibri"/>
                <w:color w:val="000000"/>
                <w:sz w:val="22"/>
                <w:szCs w:val="22"/>
                <w:lang w:eastAsia="en-GB"/>
              </w:rPr>
              <w:t>116.87</w:t>
            </w:r>
          </w:p>
        </w:tc>
        <w:tc>
          <w:tcPr>
            <w:tcW w:w="1276" w:type="dxa"/>
            <w:tcBorders>
              <w:top w:val="nil"/>
              <w:left w:val="nil"/>
              <w:bottom w:val="single" w:sz="4" w:space="0" w:color="auto"/>
              <w:right w:val="single" w:sz="4" w:space="0" w:color="auto"/>
            </w:tcBorders>
            <w:shd w:val="clear" w:color="auto" w:fill="auto"/>
            <w:noWrap/>
            <w:vAlign w:val="bottom"/>
            <w:hideMark/>
          </w:tcPr>
          <w:p w:rsidR="004F613C" w:rsidRPr="00C91BE0" w:rsidRDefault="004F613C" w:rsidP="00D4699E">
            <w:pPr>
              <w:jc w:val="right"/>
              <w:rPr>
                <w:rFonts w:ascii="Calibri" w:hAnsi="Calibri" w:cs="Calibri"/>
                <w:color w:val="000000"/>
                <w:sz w:val="22"/>
                <w:szCs w:val="22"/>
                <w:lang w:eastAsia="en-GB"/>
              </w:rPr>
            </w:pPr>
            <w:r w:rsidRPr="00C91BE0">
              <w:rPr>
                <w:rFonts w:ascii="Calibri" w:hAnsi="Calibri" w:cs="Calibri"/>
                <w:color w:val="000000"/>
                <w:sz w:val="22"/>
                <w:szCs w:val="22"/>
                <w:lang w:eastAsia="en-GB"/>
              </w:rPr>
              <w:t>122.29</w:t>
            </w:r>
          </w:p>
        </w:tc>
      </w:tr>
    </w:tbl>
    <w:p w:rsidR="004F613C" w:rsidRDefault="004F613C" w:rsidP="004F613C">
      <w:pPr>
        <w:pStyle w:val="ListParagraph"/>
        <w:ind w:left="1211"/>
      </w:pPr>
    </w:p>
    <w:p w:rsidR="004F613C" w:rsidRPr="004F613C" w:rsidRDefault="004F613C" w:rsidP="007E34DD">
      <w:pPr>
        <w:pStyle w:val="ListParagraph"/>
        <w:numPr>
          <w:ilvl w:val="0"/>
          <w:numId w:val="55"/>
        </w:numPr>
        <w:ind w:left="709" w:hanging="709"/>
        <w:rPr>
          <w:rFonts w:cs="Arial"/>
        </w:rPr>
      </w:pPr>
      <w:r w:rsidRPr="004F613C">
        <w:rPr>
          <w:rFonts w:cs="Arial"/>
        </w:rPr>
        <w:t>Formula rent</w:t>
      </w:r>
      <w:r w:rsidRPr="004F613C">
        <w:rPr>
          <w:rFonts w:cs="Arial"/>
          <w:color w:val="111111"/>
          <w:shd w:val="clear" w:color="auto" w:fill="FFFFFF"/>
        </w:rPr>
        <w:t xml:space="preserve"> is based on a combination of individual property values and average earnings in each area.</w:t>
      </w:r>
      <w:r w:rsidRPr="004F613C">
        <w:rPr>
          <w:rFonts w:cs="Arial"/>
        </w:rPr>
        <w:t xml:space="preserve"> Approximately 4379 properties have reached convergence (where the actual weekly rent is the same as the formula rent), 3229 have not and will only move to formula </w:t>
      </w:r>
      <w:r w:rsidR="00076FD9">
        <w:rPr>
          <w:rFonts w:cs="Arial"/>
        </w:rPr>
        <w:t xml:space="preserve">rent </w:t>
      </w:r>
      <w:r w:rsidRPr="004F613C">
        <w:rPr>
          <w:rFonts w:cs="Arial"/>
        </w:rPr>
        <w:t xml:space="preserve">when they become void.  </w:t>
      </w:r>
    </w:p>
    <w:p w:rsidR="00493F14" w:rsidRPr="00000222" w:rsidRDefault="00493F14" w:rsidP="0045662E">
      <w:pPr>
        <w:ind w:left="709" w:hanging="709"/>
        <w:rPr>
          <w:rFonts w:cs="Arial"/>
          <w:highlight w:val="yellow"/>
        </w:rPr>
      </w:pPr>
    </w:p>
    <w:p w:rsidR="00CB383F" w:rsidRPr="004616CB" w:rsidRDefault="00776FF8" w:rsidP="0045662E">
      <w:pPr>
        <w:autoSpaceDE w:val="0"/>
        <w:autoSpaceDN w:val="0"/>
        <w:adjustRightInd w:val="0"/>
        <w:spacing w:after="120"/>
        <w:ind w:left="709" w:right="380" w:hanging="709"/>
        <w:rPr>
          <w:rFonts w:cs="Arial"/>
          <w:b/>
        </w:rPr>
      </w:pPr>
      <w:r w:rsidRPr="004616CB">
        <w:rPr>
          <w:rFonts w:cs="Arial"/>
          <w:b/>
        </w:rPr>
        <w:t xml:space="preserve">Right </w:t>
      </w:r>
      <w:proofErr w:type="gramStart"/>
      <w:r w:rsidRPr="004616CB">
        <w:rPr>
          <w:rFonts w:cs="Arial"/>
          <w:b/>
        </w:rPr>
        <w:t>To</w:t>
      </w:r>
      <w:proofErr w:type="gramEnd"/>
      <w:r w:rsidRPr="004616CB">
        <w:rPr>
          <w:rFonts w:cs="Arial"/>
          <w:b/>
        </w:rPr>
        <w:t xml:space="preserve"> Buy</w:t>
      </w:r>
      <w:r w:rsidR="00164388" w:rsidRPr="004616CB">
        <w:rPr>
          <w:rFonts w:cs="Arial"/>
          <w:b/>
        </w:rPr>
        <w:t xml:space="preserve"> and other disposals</w:t>
      </w:r>
    </w:p>
    <w:p w:rsidR="00DB0017" w:rsidRDefault="007E34DD" w:rsidP="0045662E">
      <w:pPr>
        <w:autoSpaceDE w:val="0"/>
        <w:autoSpaceDN w:val="0"/>
        <w:adjustRightInd w:val="0"/>
        <w:spacing w:after="120"/>
        <w:ind w:left="709" w:right="380" w:hanging="709"/>
        <w:rPr>
          <w:rFonts w:cs="Arial"/>
        </w:rPr>
      </w:pPr>
      <w:r>
        <w:rPr>
          <w:rFonts w:cs="Arial"/>
        </w:rPr>
        <w:t>85</w:t>
      </w:r>
      <w:r w:rsidR="00ED4B68">
        <w:rPr>
          <w:rFonts w:cs="Arial"/>
        </w:rPr>
        <w:tab/>
      </w:r>
      <w:r w:rsidR="009062C9" w:rsidRPr="00ED4B68">
        <w:rPr>
          <w:rFonts w:cs="Arial"/>
        </w:rPr>
        <w:t>D</w:t>
      </w:r>
      <w:r w:rsidR="00D31F40" w:rsidRPr="00ED4B68">
        <w:rPr>
          <w:rFonts w:cs="Arial"/>
        </w:rPr>
        <w:t>isposal</w:t>
      </w:r>
      <w:r w:rsidR="00CB383F" w:rsidRPr="00ED4B68">
        <w:rPr>
          <w:rFonts w:cs="Arial"/>
        </w:rPr>
        <w:t xml:space="preserve"> of around 40 dwellings per year </w:t>
      </w:r>
      <w:r w:rsidR="00DB0017" w:rsidRPr="00ED4B68">
        <w:rPr>
          <w:rFonts w:cs="Arial"/>
        </w:rPr>
        <w:t>is a</w:t>
      </w:r>
      <w:r w:rsidR="009062C9" w:rsidRPr="00ED4B68">
        <w:rPr>
          <w:rFonts w:cs="Arial"/>
        </w:rPr>
        <w:t>ssumed</w:t>
      </w:r>
      <w:r w:rsidR="00DB0017" w:rsidRPr="00ED4B68">
        <w:rPr>
          <w:rFonts w:cs="Arial"/>
        </w:rPr>
        <w:t xml:space="preserve"> up until 202</w:t>
      </w:r>
      <w:r w:rsidR="004616CB" w:rsidRPr="00ED4B68">
        <w:rPr>
          <w:rFonts w:cs="Arial"/>
        </w:rPr>
        <w:t>3</w:t>
      </w:r>
      <w:r w:rsidR="00DB0017" w:rsidRPr="00ED4B68">
        <w:rPr>
          <w:rFonts w:cs="Arial"/>
        </w:rPr>
        <w:t>/2</w:t>
      </w:r>
      <w:r w:rsidR="004616CB" w:rsidRPr="00ED4B68">
        <w:rPr>
          <w:rFonts w:cs="Arial"/>
        </w:rPr>
        <w:t>4</w:t>
      </w:r>
      <w:r w:rsidR="00DB0017" w:rsidRPr="00ED4B68">
        <w:rPr>
          <w:rFonts w:cs="Arial"/>
        </w:rPr>
        <w:t xml:space="preserve"> and then subsequently reduced to 20</w:t>
      </w:r>
      <w:r w:rsidR="007B0493" w:rsidRPr="00ED4B68">
        <w:rPr>
          <w:rFonts w:cs="Arial"/>
        </w:rPr>
        <w:t>.</w:t>
      </w:r>
      <w:r w:rsidR="001B4B87" w:rsidRPr="00ED4B68">
        <w:rPr>
          <w:rFonts w:cs="Arial"/>
        </w:rPr>
        <w:t xml:space="preserve"> </w:t>
      </w:r>
      <w:r w:rsidR="00DB0017" w:rsidRPr="00ED4B68">
        <w:rPr>
          <w:rFonts w:cs="Arial"/>
        </w:rPr>
        <w:t xml:space="preserve">Within the development programmes to be purchased from OCHL, there will be shared ownerships </w:t>
      </w:r>
      <w:r w:rsidR="00F9758A" w:rsidRPr="00ED4B68">
        <w:rPr>
          <w:rFonts w:cs="Arial"/>
        </w:rPr>
        <w:t>on most of the schemes. The Council will receive a capital receipt from the element purchased by the homeowner known as ‘</w:t>
      </w:r>
      <w:r w:rsidR="000833D1" w:rsidRPr="00ED4B68">
        <w:rPr>
          <w:rFonts w:cs="Arial"/>
        </w:rPr>
        <w:t>stair casing</w:t>
      </w:r>
      <w:r w:rsidR="00F9758A" w:rsidRPr="00ED4B68">
        <w:rPr>
          <w:rFonts w:cs="Arial"/>
        </w:rPr>
        <w:t>’ enabling the homeowner to own a greater proportion of their home.</w:t>
      </w:r>
    </w:p>
    <w:p w:rsidR="00C76527" w:rsidRPr="00ED4B68" w:rsidRDefault="00C76527" w:rsidP="0045662E">
      <w:pPr>
        <w:autoSpaceDE w:val="0"/>
        <w:autoSpaceDN w:val="0"/>
        <w:adjustRightInd w:val="0"/>
        <w:spacing w:after="120"/>
        <w:ind w:left="709" w:right="380" w:hanging="709"/>
        <w:rPr>
          <w:rFonts w:cs="Arial"/>
        </w:rPr>
      </w:pPr>
    </w:p>
    <w:p w:rsidR="00CB383F" w:rsidRPr="004616CB" w:rsidRDefault="00CB383F" w:rsidP="0045662E">
      <w:pPr>
        <w:autoSpaceDE w:val="0"/>
        <w:autoSpaceDN w:val="0"/>
        <w:adjustRightInd w:val="0"/>
        <w:spacing w:after="120"/>
        <w:ind w:left="709" w:right="380" w:hanging="709"/>
        <w:rPr>
          <w:rFonts w:cs="Arial"/>
          <w:b/>
        </w:rPr>
      </w:pPr>
      <w:r w:rsidRPr="004616CB">
        <w:rPr>
          <w:rFonts w:cs="Arial"/>
          <w:b/>
        </w:rPr>
        <w:lastRenderedPageBreak/>
        <w:t>Inflation and pay assumptions</w:t>
      </w:r>
    </w:p>
    <w:p w:rsidR="00CB383F" w:rsidRPr="00ED4B68" w:rsidRDefault="007E34DD" w:rsidP="0045662E">
      <w:pPr>
        <w:autoSpaceDE w:val="0"/>
        <w:autoSpaceDN w:val="0"/>
        <w:adjustRightInd w:val="0"/>
        <w:spacing w:after="120"/>
        <w:ind w:left="709" w:right="380" w:hanging="709"/>
        <w:jc w:val="both"/>
        <w:rPr>
          <w:rFonts w:cs="Arial"/>
        </w:rPr>
      </w:pPr>
      <w:r>
        <w:rPr>
          <w:rFonts w:cs="Arial"/>
        </w:rPr>
        <w:t>86</w:t>
      </w:r>
      <w:r w:rsidR="00ED4B68">
        <w:rPr>
          <w:rFonts w:cs="Arial"/>
        </w:rPr>
        <w:tab/>
      </w:r>
      <w:proofErr w:type="gramStart"/>
      <w:r w:rsidR="008149C8" w:rsidRPr="00ED4B68">
        <w:rPr>
          <w:rFonts w:cs="Arial"/>
        </w:rPr>
        <w:t>A</w:t>
      </w:r>
      <w:r w:rsidR="00CB383F" w:rsidRPr="00ED4B68">
        <w:rPr>
          <w:rFonts w:cs="Arial"/>
        </w:rPr>
        <w:t>ll</w:t>
      </w:r>
      <w:proofErr w:type="gramEnd"/>
      <w:r w:rsidR="00CB383F" w:rsidRPr="00ED4B68">
        <w:rPr>
          <w:rFonts w:cs="Arial"/>
        </w:rPr>
        <w:t xml:space="preserve"> the assumptions for </w:t>
      </w:r>
      <w:r w:rsidR="007B0493" w:rsidRPr="00ED4B68">
        <w:rPr>
          <w:rFonts w:cs="Arial"/>
        </w:rPr>
        <w:t>i</w:t>
      </w:r>
      <w:r w:rsidR="00CB383F" w:rsidRPr="00ED4B68">
        <w:rPr>
          <w:rFonts w:cs="Arial"/>
        </w:rPr>
        <w:t xml:space="preserve">nflation are the same as for </w:t>
      </w:r>
      <w:r w:rsidR="008149C8" w:rsidRPr="00ED4B68">
        <w:rPr>
          <w:rFonts w:cs="Arial"/>
        </w:rPr>
        <w:t>t</w:t>
      </w:r>
      <w:r w:rsidR="00CB383F" w:rsidRPr="00ED4B68">
        <w:rPr>
          <w:rFonts w:cs="Arial"/>
        </w:rPr>
        <w:t>he Council’s General Fund.</w:t>
      </w:r>
      <w:r w:rsidR="001A7E58" w:rsidRPr="00ED4B68">
        <w:rPr>
          <w:rFonts w:cs="Arial"/>
        </w:rPr>
        <w:t xml:space="preserve"> </w:t>
      </w:r>
    </w:p>
    <w:p w:rsidR="003F7D58" w:rsidRDefault="003F7D58" w:rsidP="009312E5">
      <w:pPr>
        <w:autoSpaceDE w:val="0"/>
        <w:autoSpaceDN w:val="0"/>
        <w:adjustRightInd w:val="0"/>
        <w:spacing w:after="120"/>
        <w:ind w:left="1134" w:right="380" w:hanging="425"/>
        <w:jc w:val="both"/>
        <w:rPr>
          <w:rFonts w:cs="Arial"/>
          <w:b/>
        </w:rPr>
      </w:pPr>
    </w:p>
    <w:p w:rsidR="002F4354" w:rsidRPr="004616CB" w:rsidRDefault="002F4354" w:rsidP="009312E5">
      <w:pPr>
        <w:autoSpaceDE w:val="0"/>
        <w:autoSpaceDN w:val="0"/>
        <w:adjustRightInd w:val="0"/>
        <w:spacing w:after="120"/>
        <w:ind w:left="1134" w:right="380" w:hanging="425"/>
        <w:jc w:val="both"/>
        <w:rPr>
          <w:rFonts w:cs="Arial"/>
          <w:b/>
        </w:rPr>
      </w:pPr>
      <w:r w:rsidRPr="004616CB">
        <w:rPr>
          <w:rFonts w:cs="Arial"/>
          <w:b/>
        </w:rPr>
        <w:t>Service Charges</w:t>
      </w:r>
    </w:p>
    <w:p w:rsidR="00163FA2" w:rsidRPr="004616CB" w:rsidRDefault="002F4354" w:rsidP="007E34DD">
      <w:pPr>
        <w:pStyle w:val="ListParagraph"/>
        <w:numPr>
          <w:ilvl w:val="0"/>
          <w:numId w:val="56"/>
        </w:numPr>
        <w:autoSpaceDE w:val="0"/>
        <w:autoSpaceDN w:val="0"/>
        <w:adjustRightInd w:val="0"/>
        <w:spacing w:after="120"/>
        <w:ind w:left="709" w:right="380" w:hanging="709"/>
        <w:jc w:val="both"/>
        <w:rPr>
          <w:rFonts w:cs="Arial"/>
        </w:rPr>
      </w:pPr>
      <w:r w:rsidRPr="004616CB">
        <w:rPr>
          <w:rFonts w:cs="Arial"/>
        </w:rPr>
        <w:t xml:space="preserve">Service charges such as caretaking, cleaning, CCTV, communal areas etc. </w:t>
      </w:r>
      <w:r w:rsidR="00B50D68" w:rsidRPr="004616CB">
        <w:rPr>
          <w:rFonts w:cs="Arial"/>
        </w:rPr>
        <w:t xml:space="preserve">will be increased </w:t>
      </w:r>
      <w:r w:rsidR="00DB0017" w:rsidRPr="004616CB">
        <w:rPr>
          <w:rFonts w:cs="Arial"/>
        </w:rPr>
        <w:t xml:space="preserve">by RPI at </w:t>
      </w:r>
      <w:r w:rsidR="004616CB" w:rsidRPr="004616CB">
        <w:rPr>
          <w:rFonts w:cs="Arial"/>
        </w:rPr>
        <w:t>1.1</w:t>
      </w:r>
      <w:r w:rsidR="00DB0017" w:rsidRPr="004616CB">
        <w:rPr>
          <w:rFonts w:cs="Arial"/>
        </w:rPr>
        <w:t>%</w:t>
      </w:r>
      <w:r w:rsidRPr="004616CB">
        <w:rPr>
          <w:rFonts w:cs="Arial"/>
        </w:rPr>
        <w:t xml:space="preserve"> </w:t>
      </w:r>
    </w:p>
    <w:p w:rsidR="00CB383F" w:rsidRPr="004616CB" w:rsidRDefault="00CB383F" w:rsidP="0045662E">
      <w:pPr>
        <w:autoSpaceDE w:val="0"/>
        <w:autoSpaceDN w:val="0"/>
        <w:adjustRightInd w:val="0"/>
        <w:spacing w:after="120"/>
        <w:ind w:left="709" w:right="380" w:hanging="709"/>
        <w:jc w:val="both"/>
        <w:rPr>
          <w:rFonts w:cs="Arial"/>
          <w:b/>
        </w:rPr>
      </w:pPr>
      <w:r w:rsidRPr="004616CB">
        <w:rPr>
          <w:rFonts w:cs="Arial"/>
          <w:b/>
        </w:rPr>
        <w:t>Working Balance</w:t>
      </w:r>
    </w:p>
    <w:p w:rsidR="00CB383F" w:rsidRPr="004616CB" w:rsidRDefault="001F46D8" w:rsidP="007E34DD">
      <w:pPr>
        <w:pStyle w:val="ListParagraph"/>
        <w:numPr>
          <w:ilvl w:val="0"/>
          <w:numId w:val="56"/>
        </w:numPr>
        <w:autoSpaceDE w:val="0"/>
        <w:autoSpaceDN w:val="0"/>
        <w:adjustRightInd w:val="0"/>
        <w:spacing w:after="120"/>
        <w:ind w:left="780" w:right="380" w:hanging="780"/>
        <w:jc w:val="both"/>
        <w:rPr>
          <w:rFonts w:cs="Arial"/>
          <w:b/>
        </w:rPr>
      </w:pPr>
      <w:r w:rsidRPr="004616CB">
        <w:rPr>
          <w:rFonts w:cs="Arial"/>
        </w:rPr>
        <w:t>T</w:t>
      </w:r>
      <w:r w:rsidR="00CB383F" w:rsidRPr="004616CB">
        <w:rPr>
          <w:rFonts w:cs="Arial"/>
        </w:rPr>
        <w:t>he working balance levels allow sufficient monies for the funding of future years</w:t>
      </w:r>
      <w:r w:rsidR="007B0493" w:rsidRPr="004616CB">
        <w:rPr>
          <w:rFonts w:cs="Arial"/>
        </w:rPr>
        <w:t>’</w:t>
      </w:r>
      <w:r w:rsidR="00CB383F" w:rsidRPr="004616CB">
        <w:rPr>
          <w:rFonts w:cs="Arial"/>
        </w:rPr>
        <w:t xml:space="preserve"> Capital Programme</w:t>
      </w:r>
      <w:r w:rsidR="007B0493" w:rsidRPr="004616CB">
        <w:rPr>
          <w:rFonts w:cs="Arial"/>
        </w:rPr>
        <w:t>,</w:t>
      </w:r>
      <w:r w:rsidR="00CB383F" w:rsidRPr="004616CB">
        <w:rPr>
          <w:rFonts w:cs="Arial"/>
        </w:rPr>
        <w:t xml:space="preserve"> the repayment of the debt</w:t>
      </w:r>
      <w:r w:rsidR="007B0493" w:rsidRPr="004616CB">
        <w:rPr>
          <w:rFonts w:cs="Arial"/>
        </w:rPr>
        <w:t>,</w:t>
      </w:r>
      <w:r w:rsidR="008149C8" w:rsidRPr="004616CB">
        <w:rPr>
          <w:rFonts w:cs="Arial"/>
        </w:rPr>
        <w:t xml:space="preserve"> as well as a</w:t>
      </w:r>
      <w:r w:rsidR="00CB383F" w:rsidRPr="004616CB">
        <w:rPr>
          <w:rFonts w:cs="Arial"/>
        </w:rPr>
        <w:t>n amount of £</w:t>
      </w:r>
      <w:r w:rsidR="00831753">
        <w:rPr>
          <w:rFonts w:cs="Arial"/>
        </w:rPr>
        <w:t>4</w:t>
      </w:r>
      <w:r w:rsidR="00CB383F" w:rsidRPr="004616CB">
        <w:rPr>
          <w:rFonts w:cs="Arial"/>
        </w:rPr>
        <w:t xml:space="preserve"> million as being the minimum required to cover unexpected events such as falling investment income or increased costs. </w:t>
      </w:r>
    </w:p>
    <w:p w:rsidR="00CB383F" w:rsidRPr="00000222" w:rsidRDefault="00AD7431" w:rsidP="0045662E">
      <w:pPr>
        <w:ind w:left="709" w:hanging="709"/>
        <w:contextualSpacing/>
        <w:rPr>
          <w:rFonts w:eastAsia="Calibri" w:cs="Arial"/>
          <w:b/>
          <w:highlight w:val="yellow"/>
        </w:rPr>
      </w:pPr>
      <w:r w:rsidRPr="004616CB">
        <w:rPr>
          <w:rFonts w:eastAsia="Calibri" w:cs="Arial"/>
          <w:b/>
        </w:rPr>
        <w:t xml:space="preserve">Variations to Budget </w:t>
      </w:r>
    </w:p>
    <w:p w:rsidR="00784728" w:rsidRPr="00000222" w:rsidRDefault="00784728" w:rsidP="0045662E">
      <w:pPr>
        <w:ind w:left="709" w:hanging="709"/>
        <w:contextualSpacing/>
        <w:rPr>
          <w:rFonts w:eastAsia="Calibri" w:cs="Arial"/>
          <w:b/>
          <w:highlight w:val="yellow"/>
        </w:rPr>
      </w:pPr>
    </w:p>
    <w:p w:rsidR="00AD7431" w:rsidRPr="000B6EF3" w:rsidRDefault="00AD7431" w:rsidP="003F7D58">
      <w:pPr>
        <w:contextualSpacing/>
        <w:rPr>
          <w:rFonts w:eastAsia="Calibri" w:cs="Arial"/>
          <w:b/>
        </w:rPr>
      </w:pPr>
      <w:r w:rsidRPr="000B6EF3">
        <w:rPr>
          <w:rFonts w:eastAsia="Calibri" w:cs="Arial"/>
          <w:b/>
        </w:rPr>
        <w:t>Variations to the HRA budget are shown in Appendix 3 with explanations shown below:</w:t>
      </w:r>
    </w:p>
    <w:p w:rsidR="00AD7431" w:rsidRPr="00000222" w:rsidRDefault="00AD7431" w:rsidP="0045662E">
      <w:pPr>
        <w:ind w:left="709" w:hanging="709"/>
        <w:contextualSpacing/>
        <w:rPr>
          <w:rFonts w:eastAsia="Calibri" w:cs="Arial"/>
          <w:b/>
          <w:highlight w:val="yellow"/>
        </w:rPr>
      </w:pPr>
    </w:p>
    <w:p w:rsidR="00AD7431" w:rsidRPr="00114ABA" w:rsidRDefault="00AD7431" w:rsidP="0045662E">
      <w:pPr>
        <w:ind w:left="709" w:hanging="709"/>
        <w:contextualSpacing/>
        <w:rPr>
          <w:rFonts w:eastAsia="Calibri" w:cs="Arial"/>
          <w:b/>
        </w:rPr>
      </w:pPr>
      <w:r w:rsidRPr="00114ABA">
        <w:rPr>
          <w:rFonts w:eastAsia="Calibri" w:cs="Arial"/>
          <w:b/>
        </w:rPr>
        <w:t xml:space="preserve">New Investment </w:t>
      </w:r>
    </w:p>
    <w:p w:rsidR="001F46D8" w:rsidRPr="00114ABA" w:rsidRDefault="001F46D8" w:rsidP="0045662E">
      <w:pPr>
        <w:ind w:left="709" w:hanging="709"/>
        <w:contextualSpacing/>
        <w:rPr>
          <w:rFonts w:eastAsia="Calibri" w:cs="Arial"/>
          <w:b/>
        </w:rPr>
      </w:pPr>
    </w:p>
    <w:p w:rsidR="00AD7431" w:rsidRPr="009370D4" w:rsidRDefault="00114ABA" w:rsidP="007E34DD">
      <w:pPr>
        <w:pStyle w:val="ListParagraph"/>
        <w:numPr>
          <w:ilvl w:val="0"/>
          <w:numId w:val="56"/>
        </w:numPr>
        <w:ind w:left="780" w:hanging="780"/>
        <w:contextualSpacing/>
        <w:rPr>
          <w:rFonts w:eastAsia="Calibri" w:cs="Arial"/>
        </w:rPr>
      </w:pPr>
      <w:r w:rsidRPr="009370D4">
        <w:rPr>
          <w:rFonts w:eastAsia="Calibri" w:cs="Arial"/>
        </w:rPr>
        <w:t>Within</w:t>
      </w:r>
      <w:r w:rsidR="00AD7431" w:rsidRPr="009370D4">
        <w:rPr>
          <w:rFonts w:eastAsia="Calibri" w:cs="Arial"/>
        </w:rPr>
        <w:t xml:space="preserve"> the budget over the period is approximately £</w:t>
      </w:r>
      <w:r w:rsidRPr="009370D4">
        <w:rPr>
          <w:rFonts w:eastAsia="Calibri" w:cs="Arial"/>
        </w:rPr>
        <w:t xml:space="preserve">9.5 million per annum new expenditure the </w:t>
      </w:r>
      <w:r w:rsidR="00AD7431" w:rsidRPr="009370D4">
        <w:rPr>
          <w:rFonts w:eastAsia="Calibri" w:cs="Arial"/>
        </w:rPr>
        <w:t xml:space="preserve">most significant of which </w:t>
      </w:r>
      <w:r w:rsidR="004C7192" w:rsidRPr="009370D4">
        <w:rPr>
          <w:rFonts w:eastAsia="Calibri" w:cs="Arial"/>
        </w:rPr>
        <w:t>is:</w:t>
      </w:r>
    </w:p>
    <w:p w:rsidR="001945A0" w:rsidRPr="00000222" w:rsidRDefault="001945A0" w:rsidP="00AD7431">
      <w:pPr>
        <w:ind w:left="567" w:hanging="567"/>
        <w:contextualSpacing/>
        <w:rPr>
          <w:rFonts w:eastAsia="Calibri" w:cs="Arial"/>
          <w:highlight w:val="yellow"/>
        </w:rPr>
      </w:pPr>
    </w:p>
    <w:p w:rsidR="006C73FC" w:rsidRPr="00456F2E" w:rsidRDefault="006C73FC" w:rsidP="007E34DD">
      <w:pPr>
        <w:numPr>
          <w:ilvl w:val="0"/>
          <w:numId w:val="26"/>
        </w:numPr>
        <w:tabs>
          <w:tab w:val="left" w:pos="720"/>
        </w:tabs>
        <w:ind w:left="1276" w:hanging="567"/>
        <w:rPr>
          <w:rFonts w:eastAsia="Calibri"/>
        </w:rPr>
      </w:pPr>
      <w:r w:rsidRPr="00456F2E">
        <w:rPr>
          <w:rFonts w:eastAsia="Calibri"/>
          <w:b/>
        </w:rPr>
        <w:t xml:space="preserve">Marketing and </w:t>
      </w:r>
      <w:r w:rsidR="004C7192" w:rsidRPr="00456F2E">
        <w:rPr>
          <w:rFonts w:eastAsia="Calibri"/>
          <w:b/>
        </w:rPr>
        <w:t>dealing</w:t>
      </w:r>
      <w:r w:rsidRPr="00456F2E">
        <w:rPr>
          <w:rFonts w:eastAsia="Calibri"/>
          <w:b/>
        </w:rPr>
        <w:t xml:space="preserve"> with shared ownership properties</w:t>
      </w:r>
      <w:r w:rsidR="001A7E58" w:rsidRPr="00456F2E">
        <w:rPr>
          <w:rFonts w:eastAsia="Calibri"/>
          <w:b/>
        </w:rPr>
        <w:t xml:space="preserve"> - £</w:t>
      </w:r>
      <w:r w:rsidRPr="00456F2E">
        <w:rPr>
          <w:rFonts w:eastAsia="Calibri"/>
          <w:b/>
        </w:rPr>
        <w:t>6</w:t>
      </w:r>
      <w:r w:rsidR="001A7E58" w:rsidRPr="00456F2E">
        <w:rPr>
          <w:rFonts w:eastAsia="Calibri"/>
          <w:b/>
        </w:rPr>
        <w:t>0</w:t>
      </w:r>
      <w:r w:rsidRPr="00456F2E">
        <w:rPr>
          <w:rFonts w:eastAsia="Calibri"/>
          <w:b/>
        </w:rPr>
        <w:t>k</w:t>
      </w:r>
      <w:r w:rsidR="001A7E58" w:rsidRPr="00456F2E">
        <w:rPr>
          <w:rFonts w:eastAsia="Calibri"/>
          <w:b/>
        </w:rPr>
        <w:t xml:space="preserve"> per annum</w:t>
      </w:r>
      <w:r w:rsidR="001A7E58" w:rsidRPr="00456F2E">
        <w:rPr>
          <w:rFonts w:eastAsia="Calibri"/>
        </w:rPr>
        <w:t xml:space="preserve"> –</w:t>
      </w:r>
      <w:r w:rsidR="00DB0017" w:rsidRPr="00456F2E">
        <w:rPr>
          <w:rFonts w:eastAsia="Calibri"/>
        </w:rPr>
        <w:t>to facilitate the sale of the shared ownership properties within the HRA</w:t>
      </w:r>
    </w:p>
    <w:p w:rsidR="006C73FC" w:rsidRPr="00456F2E" w:rsidRDefault="006C73FC" w:rsidP="007E34DD">
      <w:pPr>
        <w:numPr>
          <w:ilvl w:val="0"/>
          <w:numId w:val="26"/>
        </w:numPr>
        <w:tabs>
          <w:tab w:val="left" w:pos="720"/>
        </w:tabs>
        <w:ind w:left="1276" w:hanging="567"/>
        <w:rPr>
          <w:rFonts w:eastAsia="Calibri"/>
        </w:rPr>
      </w:pPr>
      <w:r w:rsidRPr="00456F2E">
        <w:rPr>
          <w:rFonts w:eastAsia="Calibri"/>
          <w:b/>
        </w:rPr>
        <w:t>Te</w:t>
      </w:r>
      <w:r w:rsidR="00DB0017" w:rsidRPr="00456F2E">
        <w:rPr>
          <w:rFonts w:eastAsia="Calibri"/>
          <w:b/>
        </w:rPr>
        <w:t>nancy Management Officer - £</w:t>
      </w:r>
      <w:r w:rsidR="0081191E" w:rsidRPr="00456F2E">
        <w:rPr>
          <w:rFonts w:eastAsia="Calibri"/>
          <w:b/>
        </w:rPr>
        <w:t>53</w:t>
      </w:r>
      <w:r w:rsidR="00DB0017" w:rsidRPr="00456F2E">
        <w:rPr>
          <w:rFonts w:eastAsia="Calibri"/>
          <w:b/>
        </w:rPr>
        <w:t>k</w:t>
      </w:r>
      <w:r w:rsidR="00DB0017" w:rsidRPr="00456F2E">
        <w:rPr>
          <w:rFonts w:eastAsia="Calibri"/>
        </w:rPr>
        <w:t xml:space="preserve"> to deal with extra tenancies as a result of the purchases from OCHL</w:t>
      </w:r>
    </w:p>
    <w:p w:rsidR="00456F2E" w:rsidRPr="00456F2E" w:rsidRDefault="00456F2E" w:rsidP="007E34DD">
      <w:pPr>
        <w:numPr>
          <w:ilvl w:val="0"/>
          <w:numId w:val="26"/>
        </w:numPr>
        <w:tabs>
          <w:tab w:val="left" w:pos="720"/>
        </w:tabs>
        <w:ind w:left="1276" w:hanging="567"/>
        <w:rPr>
          <w:rFonts w:eastAsia="Calibri"/>
        </w:rPr>
      </w:pPr>
      <w:r w:rsidRPr="00456F2E">
        <w:rPr>
          <w:rFonts w:eastAsia="Calibri"/>
          <w:b/>
        </w:rPr>
        <w:t>Shared ownership officer</w:t>
      </w:r>
      <w:r w:rsidRPr="00456F2E">
        <w:rPr>
          <w:rFonts w:eastAsia="Calibri"/>
        </w:rPr>
        <w:t>- £53k per an</w:t>
      </w:r>
      <w:r w:rsidR="00D93703">
        <w:rPr>
          <w:rFonts w:eastAsia="Calibri"/>
        </w:rPr>
        <w:t>num</w:t>
      </w:r>
      <w:r w:rsidRPr="00456F2E">
        <w:rPr>
          <w:rFonts w:eastAsia="Calibri"/>
        </w:rPr>
        <w:t xml:space="preserve"> </w:t>
      </w:r>
      <w:r w:rsidR="00114ABA">
        <w:rPr>
          <w:rFonts w:eastAsia="Calibri"/>
        </w:rPr>
        <w:t>t</w:t>
      </w:r>
      <w:r w:rsidRPr="00456F2E">
        <w:rPr>
          <w:rFonts w:eastAsia="Calibri"/>
        </w:rPr>
        <w:t>o man</w:t>
      </w:r>
      <w:r w:rsidR="00114ABA">
        <w:rPr>
          <w:rFonts w:eastAsia="Calibri"/>
        </w:rPr>
        <w:t>a</w:t>
      </w:r>
      <w:r w:rsidRPr="00456F2E">
        <w:rPr>
          <w:rFonts w:eastAsia="Calibri"/>
        </w:rPr>
        <w:t>ge shared ownership properties purchased by the HRA</w:t>
      </w:r>
    </w:p>
    <w:p w:rsidR="0081191E" w:rsidRPr="00456F2E" w:rsidRDefault="0081191E" w:rsidP="007E34DD">
      <w:pPr>
        <w:numPr>
          <w:ilvl w:val="0"/>
          <w:numId w:val="26"/>
        </w:numPr>
        <w:tabs>
          <w:tab w:val="left" w:pos="720"/>
        </w:tabs>
        <w:ind w:left="1276" w:hanging="567"/>
        <w:rPr>
          <w:rFonts w:eastAsia="Calibri"/>
        </w:rPr>
      </w:pPr>
      <w:r w:rsidRPr="00456F2E">
        <w:rPr>
          <w:rFonts w:eastAsia="Calibri"/>
          <w:b/>
        </w:rPr>
        <w:t xml:space="preserve">Compliant investigations officers </w:t>
      </w:r>
      <w:r w:rsidRPr="00456F2E">
        <w:rPr>
          <w:rFonts w:eastAsia="Calibri"/>
        </w:rPr>
        <w:t xml:space="preserve">– £88k per annum </w:t>
      </w:r>
      <w:r w:rsidR="00076FD9">
        <w:rPr>
          <w:rFonts w:eastAsia="Calibri"/>
        </w:rPr>
        <w:t>two FTE</w:t>
      </w:r>
    </w:p>
    <w:p w:rsidR="0081191E" w:rsidRPr="002E1FDE" w:rsidRDefault="00D93703" w:rsidP="007E34DD">
      <w:pPr>
        <w:numPr>
          <w:ilvl w:val="0"/>
          <w:numId w:val="26"/>
        </w:numPr>
        <w:tabs>
          <w:tab w:val="left" w:pos="720"/>
        </w:tabs>
        <w:ind w:left="1276" w:hanging="567"/>
        <w:rPr>
          <w:rFonts w:eastAsia="Calibri"/>
        </w:rPr>
      </w:pPr>
      <w:r w:rsidRPr="002E1FDE">
        <w:rPr>
          <w:rFonts w:eastAsia="Calibri"/>
          <w:b/>
        </w:rPr>
        <w:t>Building</w:t>
      </w:r>
      <w:r w:rsidR="0081191E" w:rsidRPr="002E1FDE">
        <w:rPr>
          <w:rFonts w:eastAsia="Calibri"/>
          <w:b/>
        </w:rPr>
        <w:t xml:space="preserve"> safety </w:t>
      </w:r>
      <w:r w:rsidR="0081191E" w:rsidRPr="002E1FDE">
        <w:rPr>
          <w:rFonts w:eastAsia="Calibri"/>
        </w:rPr>
        <w:t xml:space="preserve">– £95k </w:t>
      </w:r>
      <w:r w:rsidR="00076FD9">
        <w:rPr>
          <w:rFonts w:eastAsia="Calibri"/>
        </w:rPr>
        <w:t>two FTE</w:t>
      </w:r>
      <w:r w:rsidR="0081191E" w:rsidRPr="002E1FDE">
        <w:rPr>
          <w:rFonts w:eastAsia="Calibri"/>
        </w:rPr>
        <w:t xml:space="preserve"> to fulfil requirements in relation to fire safety</w:t>
      </w:r>
    </w:p>
    <w:p w:rsidR="006C73FC" w:rsidRPr="00456F2E" w:rsidRDefault="009A5030" w:rsidP="007E34DD">
      <w:pPr>
        <w:pStyle w:val="ListParagraph"/>
        <w:numPr>
          <w:ilvl w:val="0"/>
          <w:numId w:val="26"/>
        </w:numPr>
        <w:tabs>
          <w:tab w:val="left" w:pos="720"/>
        </w:tabs>
        <w:ind w:left="1276" w:hanging="567"/>
        <w:rPr>
          <w:rFonts w:eastAsia="Calibri"/>
        </w:rPr>
      </w:pPr>
      <w:r w:rsidRPr="002E1FDE">
        <w:rPr>
          <w:rFonts w:cs="Arial"/>
          <w:b/>
          <w:lang w:eastAsia="en-GB"/>
        </w:rPr>
        <w:t>Energy Efficiency Initiatives</w:t>
      </w:r>
      <w:r w:rsidRPr="00456F2E">
        <w:rPr>
          <w:rFonts w:cs="Arial"/>
          <w:sz w:val="22"/>
          <w:szCs w:val="22"/>
          <w:lang w:eastAsia="en-GB"/>
        </w:rPr>
        <w:t xml:space="preserve"> - </w:t>
      </w:r>
      <w:r w:rsidR="0081191E" w:rsidRPr="00456F2E">
        <w:rPr>
          <w:rFonts w:cs="Arial"/>
          <w:sz w:val="22"/>
          <w:szCs w:val="22"/>
          <w:lang w:eastAsia="en-GB"/>
        </w:rPr>
        <w:t xml:space="preserve">£4 million per annum from 2024-25 </w:t>
      </w:r>
      <w:r w:rsidRPr="00456F2E">
        <w:rPr>
          <w:rFonts w:cs="Arial"/>
          <w:lang w:eastAsia="en-GB"/>
        </w:rPr>
        <w:t xml:space="preserve">an increase in funding to support </w:t>
      </w:r>
      <w:r w:rsidR="00076FD9">
        <w:rPr>
          <w:rFonts w:cs="Arial"/>
          <w:lang w:eastAsia="en-GB"/>
        </w:rPr>
        <w:t>the Council’s</w:t>
      </w:r>
      <w:r w:rsidRPr="00456F2E">
        <w:rPr>
          <w:rFonts w:cs="Arial"/>
          <w:lang w:eastAsia="en-GB"/>
        </w:rPr>
        <w:t xml:space="preserve"> carbon reduction agenda and deliver </w:t>
      </w:r>
      <w:r w:rsidR="00076FD9">
        <w:rPr>
          <w:rFonts w:cs="Arial"/>
          <w:lang w:eastAsia="en-GB"/>
        </w:rPr>
        <w:t>the Council’s</w:t>
      </w:r>
      <w:r w:rsidRPr="00456F2E">
        <w:rPr>
          <w:rFonts w:cs="Arial"/>
          <w:lang w:eastAsia="en-GB"/>
        </w:rPr>
        <w:t xml:space="preserve"> target of 95% of our properties being EPC C or above by 2030</w:t>
      </w:r>
      <w:r w:rsidR="00076FD9">
        <w:rPr>
          <w:rFonts w:cs="Arial"/>
          <w:lang w:eastAsia="en-GB"/>
        </w:rPr>
        <w:t xml:space="preserve"> at the</w:t>
      </w:r>
      <w:r w:rsidRPr="00456F2E">
        <w:rPr>
          <w:rFonts w:cs="Arial"/>
          <w:lang w:eastAsia="en-GB"/>
        </w:rPr>
        <w:t xml:space="preserve"> latest through undertaking upgrades of insulation or retro fit new products i.e. boilers and then from 2022/23 E</w:t>
      </w:r>
      <w:r w:rsidR="00EE1DC5">
        <w:rPr>
          <w:rFonts w:cs="Arial"/>
          <w:lang w:eastAsia="en-GB"/>
        </w:rPr>
        <w:t xml:space="preserve">xternal </w:t>
      </w:r>
      <w:r w:rsidRPr="00456F2E">
        <w:rPr>
          <w:rFonts w:cs="Arial"/>
          <w:lang w:eastAsia="en-GB"/>
        </w:rPr>
        <w:t>W</w:t>
      </w:r>
      <w:r w:rsidR="00EE1DC5">
        <w:rPr>
          <w:rFonts w:cs="Arial"/>
          <w:lang w:eastAsia="en-GB"/>
        </w:rPr>
        <w:t xml:space="preserve">all </w:t>
      </w:r>
      <w:r w:rsidR="0045492A" w:rsidRPr="00456F2E">
        <w:rPr>
          <w:rFonts w:cs="Arial"/>
          <w:lang w:eastAsia="en-GB"/>
        </w:rPr>
        <w:t>I</w:t>
      </w:r>
      <w:r w:rsidR="0045492A">
        <w:rPr>
          <w:rFonts w:cs="Arial"/>
          <w:lang w:eastAsia="en-GB"/>
        </w:rPr>
        <w:t>nsulation</w:t>
      </w:r>
      <w:r w:rsidRPr="00456F2E">
        <w:rPr>
          <w:rFonts w:cs="Arial"/>
          <w:lang w:eastAsia="en-GB"/>
        </w:rPr>
        <w:t xml:space="preserve"> to our solid wall properties.</w:t>
      </w:r>
    </w:p>
    <w:p w:rsidR="006C73FC" w:rsidRDefault="00FB5B6D" w:rsidP="007E34DD">
      <w:pPr>
        <w:numPr>
          <w:ilvl w:val="0"/>
          <w:numId w:val="26"/>
        </w:numPr>
        <w:tabs>
          <w:tab w:val="left" w:pos="720"/>
        </w:tabs>
        <w:ind w:left="1276" w:hanging="567"/>
        <w:rPr>
          <w:rFonts w:eastAsia="Calibri"/>
        </w:rPr>
      </w:pPr>
      <w:r>
        <w:rPr>
          <w:rFonts w:eastAsia="Calibri"/>
          <w:b/>
        </w:rPr>
        <w:t>Y</w:t>
      </w:r>
      <w:r w:rsidR="006C73FC" w:rsidRPr="009A5030">
        <w:rPr>
          <w:rFonts w:eastAsia="Calibri"/>
          <w:b/>
        </w:rPr>
        <w:t>outh</w:t>
      </w:r>
      <w:r w:rsidR="00B16EF8" w:rsidRPr="009A5030">
        <w:rPr>
          <w:rFonts w:eastAsia="Calibri"/>
          <w:b/>
        </w:rPr>
        <w:t xml:space="preserve"> ambition </w:t>
      </w:r>
      <w:r w:rsidR="00B16EF8" w:rsidRPr="009A5030">
        <w:rPr>
          <w:rFonts w:eastAsia="Calibri"/>
        </w:rPr>
        <w:t>specifically on Council estates</w:t>
      </w:r>
      <w:r w:rsidR="00E1469E" w:rsidRPr="009A5030">
        <w:rPr>
          <w:rFonts w:eastAsia="Calibri"/>
        </w:rPr>
        <w:t xml:space="preserve">, </w:t>
      </w:r>
      <w:r w:rsidR="00E1469E" w:rsidRPr="00FB5B6D">
        <w:rPr>
          <w:rFonts w:eastAsia="Calibri"/>
        </w:rPr>
        <w:t>£100k</w:t>
      </w:r>
      <w:r w:rsidR="00E1469E" w:rsidRPr="009A5030">
        <w:rPr>
          <w:rFonts w:eastAsia="Calibri"/>
        </w:rPr>
        <w:t xml:space="preserve"> per year from 202</w:t>
      </w:r>
      <w:r>
        <w:rPr>
          <w:rFonts w:eastAsia="Calibri"/>
        </w:rPr>
        <w:t>1</w:t>
      </w:r>
      <w:r w:rsidR="00E1469E" w:rsidRPr="009A5030">
        <w:rPr>
          <w:rFonts w:eastAsia="Calibri"/>
        </w:rPr>
        <w:t>/2</w:t>
      </w:r>
      <w:r>
        <w:rPr>
          <w:rFonts w:eastAsia="Calibri"/>
        </w:rPr>
        <w:t>2</w:t>
      </w:r>
      <w:r w:rsidR="00E1469E" w:rsidRPr="009A5030">
        <w:rPr>
          <w:rFonts w:eastAsia="Calibri"/>
        </w:rPr>
        <w:t xml:space="preserve"> </w:t>
      </w:r>
      <w:r w:rsidR="009A5030">
        <w:rPr>
          <w:rFonts w:eastAsia="Calibri"/>
        </w:rPr>
        <w:t>to 202</w:t>
      </w:r>
      <w:r>
        <w:rPr>
          <w:rFonts w:eastAsia="Calibri"/>
        </w:rPr>
        <w:t>3</w:t>
      </w:r>
      <w:r w:rsidR="009A5030">
        <w:rPr>
          <w:rFonts w:eastAsia="Calibri"/>
        </w:rPr>
        <w:t>-2</w:t>
      </w:r>
      <w:r>
        <w:rPr>
          <w:rFonts w:eastAsia="Calibri"/>
        </w:rPr>
        <w:t>4</w:t>
      </w:r>
      <w:r w:rsidR="009A5030">
        <w:rPr>
          <w:rFonts w:eastAsia="Calibri"/>
        </w:rPr>
        <w:t xml:space="preserve"> </w:t>
      </w:r>
      <w:r w:rsidR="00E1469E" w:rsidRPr="009A5030">
        <w:rPr>
          <w:rFonts w:eastAsia="Calibri"/>
        </w:rPr>
        <w:t>to support wider youth work on council estates</w:t>
      </w:r>
      <w:r w:rsidR="00BD2F96">
        <w:rPr>
          <w:rFonts w:eastAsia="Calibri"/>
        </w:rPr>
        <w:t>.</w:t>
      </w:r>
    </w:p>
    <w:p w:rsidR="0081191E" w:rsidRDefault="0081191E" w:rsidP="007E34DD">
      <w:pPr>
        <w:pStyle w:val="ListParagraph"/>
        <w:numPr>
          <w:ilvl w:val="0"/>
          <w:numId w:val="26"/>
        </w:numPr>
        <w:ind w:left="1276" w:hanging="567"/>
        <w:rPr>
          <w:rFonts w:cs="Arial"/>
          <w:lang w:eastAsia="en-GB"/>
        </w:rPr>
      </w:pPr>
      <w:r w:rsidRPr="0081191E">
        <w:rPr>
          <w:rFonts w:cs="Arial"/>
          <w:b/>
          <w:lang w:eastAsia="en-GB"/>
        </w:rPr>
        <w:t xml:space="preserve">Retained Right Buy </w:t>
      </w:r>
      <w:r w:rsidR="00076FD9">
        <w:rPr>
          <w:rFonts w:cs="Arial"/>
          <w:b/>
          <w:lang w:eastAsia="en-GB"/>
        </w:rPr>
        <w:t xml:space="preserve">(RRTB) </w:t>
      </w:r>
      <w:r w:rsidRPr="0081191E">
        <w:rPr>
          <w:rFonts w:cs="Arial"/>
          <w:b/>
          <w:lang w:eastAsia="en-GB"/>
        </w:rPr>
        <w:t>Receipts</w:t>
      </w:r>
      <w:r w:rsidRPr="0081191E">
        <w:rPr>
          <w:rFonts w:cs="Arial"/>
          <w:lang w:eastAsia="en-GB"/>
        </w:rPr>
        <w:t xml:space="preserve"> </w:t>
      </w:r>
      <w:r>
        <w:rPr>
          <w:rFonts w:cs="Arial"/>
          <w:lang w:eastAsia="en-GB"/>
        </w:rPr>
        <w:t xml:space="preserve">- £2.35million per annum </w:t>
      </w:r>
      <w:r w:rsidRPr="0081191E">
        <w:rPr>
          <w:rFonts w:cs="Arial"/>
          <w:lang w:eastAsia="en-GB"/>
        </w:rPr>
        <w:t xml:space="preserve">(for street </w:t>
      </w:r>
      <w:r w:rsidR="00D93703" w:rsidRPr="0081191E">
        <w:rPr>
          <w:rFonts w:cs="Arial"/>
          <w:lang w:eastAsia="en-GB"/>
        </w:rPr>
        <w:t>acquisition</w:t>
      </w:r>
      <w:r w:rsidRPr="0081191E">
        <w:rPr>
          <w:rFonts w:cs="Arial"/>
          <w:lang w:eastAsia="en-GB"/>
        </w:rPr>
        <w:t xml:space="preserve"> or HRA development) - match funding to support new supply either through </w:t>
      </w:r>
      <w:r w:rsidR="00076FD9">
        <w:rPr>
          <w:rFonts w:cs="Arial"/>
          <w:lang w:eastAsia="en-GB"/>
        </w:rPr>
        <w:t>Section</w:t>
      </w:r>
      <w:r w:rsidRPr="0081191E">
        <w:rPr>
          <w:rFonts w:cs="Arial"/>
          <w:lang w:eastAsia="en-GB"/>
        </w:rPr>
        <w:t xml:space="preserve"> 106 purchase or open market acquisition using </w:t>
      </w:r>
      <w:proofErr w:type="spellStart"/>
      <w:r w:rsidRPr="0081191E">
        <w:rPr>
          <w:rFonts w:cs="Arial"/>
          <w:lang w:eastAsia="en-GB"/>
        </w:rPr>
        <w:t>RRtB</w:t>
      </w:r>
      <w:proofErr w:type="spellEnd"/>
      <w:r w:rsidRPr="0081191E">
        <w:rPr>
          <w:rFonts w:cs="Arial"/>
          <w:lang w:eastAsia="en-GB"/>
        </w:rPr>
        <w:t xml:space="preserve"> receipts. </w:t>
      </w:r>
      <w:r w:rsidR="00076FD9">
        <w:rPr>
          <w:rFonts w:cs="Arial"/>
          <w:lang w:eastAsia="en-GB"/>
        </w:rPr>
        <w:t>The use of RRTB receipts may only be used to represent 3</w:t>
      </w:r>
      <w:r w:rsidRPr="0081191E">
        <w:rPr>
          <w:rFonts w:cs="Arial"/>
          <w:lang w:eastAsia="en-GB"/>
        </w:rPr>
        <w:t xml:space="preserve">0% </w:t>
      </w:r>
      <w:r w:rsidR="00076FD9">
        <w:rPr>
          <w:rFonts w:cs="Arial"/>
          <w:lang w:eastAsia="en-GB"/>
        </w:rPr>
        <w:t xml:space="preserve">of </w:t>
      </w:r>
      <w:proofErr w:type="spellStart"/>
      <w:r w:rsidR="00076FD9">
        <w:rPr>
          <w:rFonts w:cs="Arial"/>
          <w:lang w:eastAsia="en-GB"/>
        </w:rPr>
        <w:t>grosss</w:t>
      </w:r>
      <w:proofErr w:type="spellEnd"/>
      <w:r w:rsidR="00076FD9">
        <w:rPr>
          <w:rFonts w:cs="Arial"/>
          <w:lang w:eastAsia="en-GB"/>
        </w:rPr>
        <w:t xml:space="preserve"> capital expenditure. Any such receipts not used within three ye4ars of having been received should be returned the Government together with interest, based on </w:t>
      </w:r>
      <w:r w:rsidRPr="0081191E">
        <w:rPr>
          <w:rFonts w:cs="Arial"/>
          <w:lang w:eastAsia="en-GB"/>
        </w:rPr>
        <w:t xml:space="preserve">at 4% above base rate on </w:t>
      </w:r>
      <w:r w:rsidR="00076FD9">
        <w:rPr>
          <w:rFonts w:cs="Arial"/>
          <w:lang w:eastAsia="en-GB"/>
        </w:rPr>
        <w:t xml:space="preserve">a </w:t>
      </w:r>
      <w:r w:rsidRPr="0081191E">
        <w:rPr>
          <w:rFonts w:cs="Arial"/>
          <w:lang w:eastAsia="en-GB"/>
        </w:rPr>
        <w:t>compound basis</w:t>
      </w:r>
      <w:r w:rsidR="00BD2F96">
        <w:rPr>
          <w:rFonts w:cs="Arial"/>
          <w:lang w:eastAsia="en-GB"/>
        </w:rPr>
        <w:t>.</w:t>
      </w:r>
    </w:p>
    <w:p w:rsidR="0081191E" w:rsidRDefault="0081191E" w:rsidP="007E34DD">
      <w:pPr>
        <w:pStyle w:val="ListParagraph"/>
        <w:numPr>
          <w:ilvl w:val="0"/>
          <w:numId w:val="26"/>
        </w:numPr>
        <w:ind w:left="1276" w:hanging="567"/>
        <w:rPr>
          <w:rFonts w:cs="Arial"/>
          <w:lang w:eastAsia="en-GB"/>
        </w:rPr>
      </w:pPr>
      <w:r w:rsidRPr="0081191E">
        <w:rPr>
          <w:rFonts w:cs="Arial"/>
          <w:b/>
          <w:lang w:eastAsia="en-GB"/>
        </w:rPr>
        <w:t>Next Steps Accommodation Programme</w:t>
      </w:r>
      <w:r w:rsidR="00076FD9">
        <w:rPr>
          <w:rFonts w:cs="Arial"/>
          <w:b/>
          <w:lang w:eastAsia="en-GB"/>
        </w:rPr>
        <w:t xml:space="preserve"> (NASP)</w:t>
      </w:r>
      <w:r w:rsidRPr="0081191E">
        <w:rPr>
          <w:rFonts w:cs="Arial"/>
          <w:lang w:eastAsia="en-GB"/>
        </w:rPr>
        <w:t xml:space="preserve"> -</w:t>
      </w:r>
      <w:r w:rsidR="00114ABA">
        <w:rPr>
          <w:rFonts w:cs="Arial"/>
          <w:lang w:eastAsia="en-GB"/>
        </w:rPr>
        <w:t xml:space="preserve">£2.392 million </w:t>
      </w:r>
      <w:r w:rsidRPr="0081191E">
        <w:rPr>
          <w:rFonts w:cs="Arial"/>
          <w:lang w:eastAsia="en-GB"/>
        </w:rPr>
        <w:t xml:space="preserve">NSAP Funding for the open market acquisition of 10 one bedroom properties to </w:t>
      </w:r>
      <w:r w:rsidRPr="0081191E">
        <w:rPr>
          <w:rFonts w:cs="Arial"/>
          <w:lang w:eastAsia="en-GB"/>
        </w:rPr>
        <w:lastRenderedPageBreak/>
        <w:t xml:space="preserve">support the exit strategy from the 'Everyone In ' for rough sleepers. Supported by funding from MHCLG and Oxford Growth Deal. Note budget approval to support a further </w:t>
      </w:r>
      <w:r w:rsidR="00076FD9">
        <w:rPr>
          <w:rFonts w:cs="Arial"/>
          <w:lang w:eastAsia="en-GB"/>
        </w:rPr>
        <w:t>five was</w:t>
      </w:r>
      <w:r w:rsidRPr="0081191E">
        <w:rPr>
          <w:rFonts w:cs="Arial"/>
          <w:lang w:eastAsia="en-GB"/>
        </w:rPr>
        <w:t xml:space="preserve"> given in 20</w:t>
      </w:r>
      <w:r w:rsidR="00076FD9">
        <w:rPr>
          <w:rFonts w:cs="Arial"/>
          <w:lang w:eastAsia="en-GB"/>
        </w:rPr>
        <w:t>20</w:t>
      </w:r>
      <w:r w:rsidRPr="0081191E">
        <w:rPr>
          <w:rFonts w:cs="Arial"/>
          <w:lang w:eastAsia="en-GB"/>
        </w:rPr>
        <w:t>/21.</w:t>
      </w:r>
    </w:p>
    <w:p w:rsidR="0081191E" w:rsidRPr="0081191E" w:rsidRDefault="0081191E" w:rsidP="007E34DD">
      <w:pPr>
        <w:pStyle w:val="ListParagraph"/>
        <w:numPr>
          <w:ilvl w:val="0"/>
          <w:numId w:val="26"/>
        </w:numPr>
        <w:ind w:left="1276" w:hanging="567"/>
        <w:rPr>
          <w:rFonts w:cs="Arial"/>
          <w:lang w:eastAsia="en-GB"/>
        </w:rPr>
      </w:pPr>
      <w:r>
        <w:rPr>
          <w:rFonts w:cs="Arial"/>
          <w:b/>
          <w:lang w:eastAsia="en-GB"/>
        </w:rPr>
        <w:t xml:space="preserve">Communications </w:t>
      </w:r>
      <w:r w:rsidRPr="0081191E">
        <w:rPr>
          <w:rFonts w:cs="Arial"/>
          <w:lang w:eastAsia="en-GB"/>
        </w:rPr>
        <w:t>-</w:t>
      </w:r>
      <w:r>
        <w:rPr>
          <w:rFonts w:cs="Arial"/>
          <w:lang w:eastAsia="en-GB"/>
        </w:rPr>
        <w:t xml:space="preserve"> £50k – </w:t>
      </w:r>
      <w:r w:rsidR="00BD3441">
        <w:rPr>
          <w:rFonts w:cs="Arial"/>
          <w:lang w:eastAsia="en-GB"/>
        </w:rPr>
        <w:t>One FTE</w:t>
      </w:r>
      <w:r>
        <w:rPr>
          <w:rFonts w:cs="Arial"/>
          <w:lang w:eastAsia="en-GB"/>
        </w:rPr>
        <w:t xml:space="preserve"> for work on communications in relation to</w:t>
      </w:r>
      <w:r w:rsidR="00BD2F96">
        <w:rPr>
          <w:rFonts w:cs="Arial"/>
          <w:lang w:eastAsia="en-GB"/>
        </w:rPr>
        <w:t xml:space="preserve"> HRA.</w:t>
      </w:r>
    </w:p>
    <w:p w:rsidR="0081191E" w:rsidRPr="0081191E" w:rsidRDefault="0081191E" w:rsidP="007E34DD">
      <w:pPr>
        <w:pStyle w:val="ListParagraph"/>
        <w:numPr>
          <w:ilvl w:val="0"/>
          <w:numId w:val="26"/>
        </w:numPr>
        <w:ind w:left="1276" w:hanging="567"/>
        <w:rPr>
          <w:rFonts w:cs="Arial"/>
          <w:lang w:eastAsia="en-GB"/>
        </w:rPr>
      </w:pPr>
      <w:r w:rsidRPr="0081191E">
        <w:rPr>
          <w:rFonts w:cs="Arial"/>
          <w:b/>
          <w:lang w:eastAsia="en-GB"/>
        </w:rPr>
        <w:t>Windows and Doors -</w:t>
      </w:r>
      <w:r>
        <w:rPr>
          <w:rFonts w:cs="Arial"/>
          <w:b/>
          <w:lang w:eastAsia="en-GB"/>
        </w:rPr>
        <w:t>£1.1 million per annum extra by 2024-25-</w:t>
      </w:r>
      <w:r w:rsidRPr="0081191E">
        <w:rPr>
          <w:rFonts w:cs="Arial"/>
          <w:lang w:eastAsia="en-GB"/>
        </w:rPr>
        <w:t xml:space="preserve"> following previous window and door replacement investment under the Decent Homes Programmed given the condition , there is now a need to begin another rolling replacement programme.</w:t>
      </w:r>
    </w:p>
    <w:p w:rsidR="0081191E" w:rsidRPr="0081191E" w:rsidRDefault="0081191E" w:rsidP="007E34DD">
      <w:pPr>
        <w:pStyle w:val="ListParagraph"/>
        <w:numPr>
          <w:ilvl w:val="0"/>
          <w:numId w:val="26"/>
        </w:numPr>
        <w:ind w:left="1276" w:hanging="567"/>
        <w:rPr>
          <w:rFonts w:cs="Arial"/>
          <w:lang w:eastAsia="en-GB"/>
        </w:rPr>
      </w:pPr>
      <w:r w:rsidRPr="0081191E">
        <w:rPr>
          <w:rFonts w:cs="Arial"/>
          <w:b/>
          <w:lang w:eastAsia="en-GB"/>
        </w:rPr>
        <w:t>Roofing -</w:t>
      </w:r>
      <w:r w:rsidRPr="0081191E">
        <w:rPr>
          <w:rFonts w:cs="Arial"/>
          <w:lang w:eastAsia="en-GB"/>
        </w:rPr>
        <w:t xml:space="preserve"> </w:t>
      </w:r>
      <w:r>
        <w:rPr>
          <w:rFonts w:cs="Arial"/>
          <w:lang w:eastAsia="en-GB"/>
        </w:rPr>
        <w:t xml:space="preserve">£2.2 million per annum extra by 2024-25 </w:t>
      </w:r>
      <w:r w:rsidRPr="0081191E">
        <w:rPr>
          <w:rFonts w:cs="Arial"/>
          <w:lang w:eastAsia="en-GB"/>
        </w:rPr>
        <w:t xml:space="preserve">due to age, there is now a need to increase investment in a re-roofing programme with associated works to introduce low maintenance items i.e. UPVC soffits. This will complement the increase to the </w:t>
      </w:r>
      <w:r w:rsidR="00BD3441">
        <w:rPr>
          <w:rFonts w:cs="Arial"/>
          <w:lang w:eastAsia="en-GB"/>
        </w:rPr>
        <w:t xml:space="preserve">pre painting joinery </w:t>
      </w:r>
      <w:r w:rsidRPr="0081191E">
        <w:rPr>
          <w:rFonts w:cs="Arial"/>
          <w:lang w:eastAsia="en-GB"/>
        </w:rPr>
        <w:t>programme</w:t>
      </w:r>
      <w:r w:rsidR="00BD2F96">
        <w:rPr>
          <w:rFonts w:cs="Arial"/>
          <w:lang w:eastAsia="en-GB"/>
        </w:rPr>
        <w:t>.</w:t>
      </w:r>
    </w:p>
    <w:p w:rsidR="00784728" w:rsidRPr="00000222" w:rsidRDefault="00784728" w:rsidP="001F46D8">
      <w:pPr>
        <w:pStyle w:val="ListParagraph"/>
        <w:ind w:left="1260" w:hanging="551"/>
        <w:rPr>
          <w:rFonts w:eastAsia="Calibri" w:cs="Arial"/>
          <w:highlight w:val="yellow"/>
        </w:rPr>
      </w:pPr>
    </w:p>
    <w:p w:rsidR="00F01CC2" w:rsidRPr="00000222" w:rsidRDefault="00F01CC2" w:rsidP="006A5A42">
      <w:pPr>
        <w:rPr>
          <w:rFonts w:eastAsia="Calibri" w:cs="Arial"/>
          <w:highlight w:val="yellow"/>
        </w:rPr>
      </w:pPr>
    </w:p>
    <w:p w:rsidR="00CB1092" w:rsidRPr="0008663A" w:rsidRDefault="00CB1092" w:rsidP="00784728">
      <w:pPr>
        <w:tabs>
          <w:tab w:val="left" w:pos="630"/>
        </w:tabs>
        <w:autoSpaceDE w:val="0"/>
        <w:autoSpaceDN w:val="0"/>
        <w:adjustRightInd w:val="0"/>
        <w:jc w:val="both"/>
        <w:rPr>
          <w:rFonts w:cs="Arial"/>
          <w:b/>
        </w:rPr>
      </w:pPr>
      <w:r w:rsidRPr="0008663A">
        <w:rPr>
          <w:rFonts w:cs="Arial"/>
          <w:b/>
        </w:rPr>
        <w:t>Housing Revenue Account Budget 20</w:t>
      </w:r>
      <w:r w:rsidR="003B4C39" w:rsidRPr="0008663A">
        <w:rPr>
          <w:rFonts w:cs="Arial"/>
          <w:b/>
        </w:rPr>
        <w:t>2</w:t>
      </w:r>
      <w:r w:rsidR="0008663A">
        <w:rPr>
          <w:rFonts w:cs="Arial"/>
          <w:b/>
        </w:rPr>
        <w:t>1</w:t>
      </w:r>
      <w:r w:rsidRPr="0008663A">
        <w:rPr>
          <w:rFonts w:cs="Arial"/>
          <w:b/>
        </w:rPr>
        <w:t>/</w:t>
      </w:r>
      <w:r w:rsidR="00ED4FD0" w:rsidRPr="0008663A">
        <w:rPr>
          <w:rFonts w:cs="Arial"/>
          <w:b/>
        </w:rPr>
        <w:t>2</w:t>
      </w:r>
      <w:r w:rsidR="0008663A">
        <w:rPr>
          <w:rFonts w:cs="Arial"/>
          <w:b/>
        </w:rPr>
        <w:t>2</w:t>
      </w:r>
      <w:r w:rsidRPr="0008663A">
        <w:rPr>
          <w:rFonts w:cs="Arial"/>
          <w:b/>
        </w:rPr>
        <w:t xml:space="preserve"> to 20</w:t>
      </w:r>
      <w:r w:rsidR="00453999" w:rsidRPr="0008663A">
        <w:rPr>
          <w:rFonts w:cs="Arial"/>
          <w:b/>
        </w:rPr>
        <w:t>2</w:t>
      </w:r>
      <w:r w:rsidR="0008663A">
        <w:rPr>
          <w:rFonts w:cs="Arial"/>
          <w:b/>
        </w:rPr>
        <w:t>4</w:t>
      </w:r>
      <w:r w:rsidRPr="0008663A">
        <w:rPr>
          <w:rFonts w:cs="Arial"/>
          <w:b/>
        </w:rPr>
        <w:t>/</w:t>
      </w:r>
      <w:r w:rsidR="00D06890" w:rsidRPr="0008663A">
        <w:rPr>
          <w:rFonts w:cs="Arial"/>
          <w:b/>
        </w:rPr>
        <w:t>2</w:t>
      </w:r>
      <w:r w:rsidR="0008663A">
        <w:rPr>
          <w:rFonts w:cs="Arial"/>
          <w:b/>
        </w:rPr>
        <w:t>5</w:t>
      </w:r>
    </w:p>
    <w:p w:rsidR="00583D9F" w:rsidRPr="00000222" w:rsidRDefault="00583D9F" w:rsidP="002B7914">
      <w:pPr>
        <w:autoSpaceDE w:val="0"/>
        <w:autoSpaceDN w:val="0"/>
        <w:adjustRightInd w:val="0"/>
        <w:ind w:left="567" w:right="380" w:hanging="567"/>
        <w:jc w:val="both"/>
        <w:rPr>
          <w:rFonts w:cs="Arial"/>
          <w:highlight w:val="yellow"/>
        </w:rPr>
      </w:pPr>
    </w:p>
    <w:p w:rsidR="00D52114" w:rsidRPr="0008663A" w:rsidRDefault="001F46D8" w:rsidP="007E34DD">
      <w:pPr>
        <w:pStyle w:val="ListParagraph"/>
        <w:numPr>
          <w:ilvl w:val="0"/>
          <w:numId w:val="56"/>
        </w:numPr>
        <w:autoSpaceDE w:val="0"/>
        <w:autoSpaceDN w:val="0"/>
        <w:adjustRightInd w:val="0"/>
        <w:ind w:left="780" w:right="380" w:hanging="780"/>
        <w:rPr>
          <w:rFonts w:cs="Arial"/>
        </w:rPr>
      </w:pPr>
      <w:r w:rsidRPr="0008663A">
        <w:rPr>
          <w:rFonts w:cs="Arial"/>
        </w:rPr>
        <w:t>A</w:t>
      </w:r>
      <w:r w:rsidR="00CB1092" w:rsidRPr="0008663A">
        <w:rPr>
          <w:rFonts w:cs="Arial"/>
        </w:rPr>
        <w:t xml:space="preserve">ppendix </w:t>
      </w:r>
      <w:r w:rsidR="007E18CF" w:rsidRPr="0008663A">
        <w:rPr>
          <w:rFonts w:cs="Arial"/>
        </w:rPr>
        <w:t>4</w:t>
      </w:r>
      <w:r w:rsidR="00CB1092" w:rsidRPr="0008663A">
        <w:rPr>
          <w:rFonts w:cs="Arial"/>
        </w:rPr>
        <w:t xml:space="preserve"> details the HRA Budget for the period 20</w:t>
      </w:r>
      <w:r w:rsidR="003B4C39" w:rsidRPr="0008663A">
        <w:rPr>
          <w:rFonts w:cs="Arial"/>
        </w:rPr>
        <w:t>2</w:t>
      </w:r>
      <w:r w:rsidR="004616CB" w:rsidRPr="0008663A">
        <w:rPr>
          <w:rFonts w:cs="Arial"/>
        </w:rPr>
        <w:t>1</w:t>
      </w:r>
      <w:r w:rsidR="00CB1092" w:rsidRPr="0008663A">
        <w:rPr>
          <w:rFonts w:cs="Arial"/>
        </w:rPr>
        <w:t>/</w:t>
      </w:r>
      <w:r w:rsidR="00ED4FD0" w:rsidRPr="0008663A">
        <w:rPr>
          <w:rFonts w:cs="Arial"/>
        </w:rPr>
        <w:t>2</w:t>
      </w:r>
      <w:r w:rsidR="004616CB" w:rsidRPr="0008663A">
        <w:rPr>
          <w:rFonts w:cs="Arial"/>
        </w:rPr>
        <w:t>2</w:t>
      </w:r>
      <w:r w:rsidR="00CB1092" w:rsidRPr="0008663A">
        <w:rPr>
          <w:rFonts w:cs="Arial"/>
        </w:rPr>
        <w:t xml:space="preserve"> to 20</w:t>
      </w:r>
      <w:r w:rsidR="00453999" w:rsidRPr="0008663A">
        <w:rPr>
          <w:rFonts w:cs="Arial"/>
        </w:rPr>
        <w:t>2</w:t>
      </w:r>
      <w:r w:rsidR="004616CB" w:rsidRPr="0008663A">
        <w:rPr>
          <w:rFonts w:cs="Arial"/>
        </w:rPr>
        <w:t>4</w:t>
      </w:r>
      <w:r w:rsidR="00CB1092" w:rsidRPr="0008663A">
        <w:rPr>
          <w:rFonts w:cs="Arial"/>
        </w:rPr>
        <w:t>/</w:t>
      </w:r>
      <w:r w:rsidR="001447C4" w:rsidRPr="0008663A">
        <w:rPr>
          <w:rFonts w:cs="Arial"/>
        </w:rPr>
        <w:t>2</w:t>
      </w:r>
      <w:r w:rsidR="004616CB" w:rsidRPr="0008663A">
        <w:rPr>
          <w:rFonts w:cs="Arial"/>
        </w:rPr>
        <w:t>5</w:t>
      </w:r>
      <w:r w:rsidR="00CB1092" w:rsidRPr="0008663A">
        <w:rPr>
          <w:rFonts w:cs="Arial"/>
        </w:rPr>
        <w:t xml:space="preserve"> </w:t>
      </w:r>
      <w:r w:rsidR="00921B4B" w:rsidRPr="0008663A">
        <w:rPr>
          <w:rFonts w:cs="Arial"/>
        </w:rPr>
        <w:t xml:space="preserve">which </w:t>
      </w:r>
      <w:r w:rsidR="00CB1092" w:rsidRPr="0008663A">
        <w:rPr>
          <w:rFonts w:cs="Arial"/>
        </w:rPr>
        <w:t>is summarised below:</w:t>
      </w:r>
    </w:p>
    <w:p w:rsidR="00B16EF8" w:rsidRPr="0008663A" w:rsidRDefault="00B16EF8" w:rsidP="00784728">
      <w:pPr>
        <w:autoSpaceDE w:val="0"/>
        <w:autoSpaceDN w:val="0"/>
        <w:adjustRightInd w:val="0"/>
        <w:ind w:right="380"/>
        <w:rPr>
          <w:rFonts w:cs="Arial"/>
        </w:rPr>
      </w:pPr>
    </w:p>
    <w:tbl>
      <w:tblPr>
        <w:tblW w:w="9380" w:type="dxa"/>
        <w:tblInd w:w="9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420"/>
        <w:gridCol w:w="1124"/>
        <w:gridCol w:w="1356"/>
        <w:gridCol w:w="1240"/>
        <w:gridCol w:w="1240"/>
      </w:tblGrid>
      <w:tr w:rsidR="00831753" w:rsidRPr="0008663A" w:rsidTr="005F15AB">
        <w:trPr>
          <w:trHeight w:val="300"/>
        </w:trPr>
        <w:tc>
          <w:tcPr>
            <w:tcW w:w="4420" w:type="dxa"/>
            <w:shd w:val="clear" w:color="auto" w:fill="BFBFBF"/>
            <w:noWrap/>
            <w:vAlign w:val="bottom"/>
            <w:hideMark/>
          </w:tcPr>
          <w:p w:rsidR="00B16EF8" w:rsidRPr="0008663A" w:rsidRDefault="00B16EF8" w:rsidP="009B6FD6">
            <w:pPr>
              <w:rPr>
                <w:rFonts w:cs="Arial"/>
                <w:b/>
                <w:bCs/>
                <w:color w:val="000000"/>
                <w:sz w:val="22"/>
                <w:szCs w:val="22"/>
                <w:lang w:eastAsia="en-GB"/>
              </w:rPr>
            </w:pPr>
            <w:r w:rsidRPr="0008663A">
              <w:rPr>
                <w:rFonts w:cs="Arial"/>
                <w:b/>
                <w:bCs/>
                <w:color w:val="000000"/>
                <w:sz w:val="22"/>
                <w:szCs w:val="22"/>
                <w:lang w:eastAsia="en-GB"/>
              </w:rPr>
              <w:t>TABLE 1</w:t>
            </w:r>
            <w:r w:rsidR="00967143">
              <w:rPr>
                <w:rFonts w:cs="Arial"/>
                <w:b/>
                <w:bCs/>
                <w:color w:val="000000"/>
                <w:sz w:val="22"/>
                <w:szCs w:val="22"/>
                <w:lang w:eastAsia="en-GB"/>
              </w:rPr>
              <w:t>4</w:t>
            </w:r>
            <w:r w:rsidRPr="0008663A">
              <w:rPr>
                <w:rFonts w:cs="Arial"/>
                <w:b/>
                <w:bCs/>
                <w:color w:val="000000"/>
                <w:sz w:val="22"/>
                <w:szCs w:val="22"/>
                <w:lang w:eastAsia="en-GB"/>
              </w:rPr>
              <w:t xml:space="preserve"> HOUSING REVENUE ACCOUNT </w:t>
            </w:r>
          </w:p>
        </w:tc>
        <w:tc>
          <w:tcPr>
            <w:tcW w:w="1124" w:type="dxa"/>
            <w:shd w:val="clear" w:color="auto" w:fill="BFBFBF"/>
            <w:noWrap/>
            <w:vAlign w:val="bottom"/>
            <w:hideMark/>
          </w:tcPr>
          <w:p w:rsidR="00842F09" w:rsidRPr="0008663A" w:rsidRDefault="00842F09" w:rsidP="00842F09">
            <w:pPr>
              <w:jc w:val="center"/>
              <w:rPr>
                <w:rFonts w:cs="Arial"/>
                <w:b/>
                <w:color w:val="000000"/>
                <w:sz w:val="22"/>
                <w:szCs w:val="22"/>
                <w:lang w:eastAsia="en-GB"/>
              </w:rPr>
            </w:pPr>
            <w:r w:rsidRPr="0008663A">
              <w:rPr>
                <w:rFonts w:cs="Arial"/>
                <w:b/>
                <w:color w:val="000000"/>
                <w:sz w:val="22"/>
                <w:szCs w:val="22"/>
                <w:lang w:eastAsia="en-GB"/>
              </w:rPr>
              <w:t>202</w:t>
            </w:r>
            <w:r w:rsidR="004616CB" w:rsidRPr="0008663A">
              <w:rPr>
                <w:rFonts w:cs="Arial"/>
                <w:b/>
                <w:color w:val="000000"/>
                <w:sz w:val="22"/>
                <w:szCs w:val="22"/>
                <w:lang w:eastAsia="en-GB"/>
              </w:rPr>
              <w:t>1</w:t>
            </w:r>
            <w:r w:rsidRPr="0008663A">
              <w:rPr>
                <w:rFonts w:cs="Arial"/>
                <w:b/>
                <w:color w:val="000000"/>
                <w:sz w:val="22"/>
                <w:szCs w:val="22"/>
                <w:lang w:eastAsia="en-GB"/>
              </w:rPr>
              <w:t>/2</w:t>
            </w:r>
            <w:r w:rsidR="004616CB" w:rsidRPr="0008663A">
              <w:rPr>
                <w:rFonts w:cs="Arial"/>
                <w:b/>
                <w:color w:val="000000"/>
                <w:sz w:val="22"/>
                <w:szCs w:val="22"/>
                <w:lang w:eastAsia="en-GB"/>
              </w:rPr>
              <w:t>2</w:t>
            </w:r>
          </w:p>
          <w:p w:rsidR="00B16EF8" w:rsidRPr="0008663A" w:rsidRDefault="00B16EF8" w:rsidP="00842F09">
            <w:pPr>
              <w:jc w:val="center"/>
              <w:rPr>
                <w:rFonts w:cs="Arial"/>
                <w:b/>
                <w:color w:val="000000"/>
                <w:sz w:val="22"/>
                <w:szCs w:val="22"/>
                <w:lang w:eastAsia="en-GB"/>
              </w:rPr>
            </w:pPr>
            <w:r w:rsidRPr="0008663A">
              <w:rPr>
                <w:rFonts w:cs="Arial"/>
                <w:b/>
                <w:color w:val="000000"/>
                <w:sz w:val="22"/>
                <w:szCs w:val="22"/>
                <w:lang w:eastAsia="en-GB"/>
              </w:rPr>
              <w:t>£000’s</w:t>
            </w:r>
          </w:p>
        </w:tc>
        <w:tc>
          <w:tcPr>
            <w:tcW w:w="1356" w:type="dxa"/>
            <w:shd w:val="clear" w:color="auto" w:fill="BFBFBF"/>
            <w:noWrap/>
            <w:vAlign w:val="bottom"/>
            <w:hideMark/>
          </w:tcPr>
          <w:p w:rsidR="00842F09" w:rsidRPr="0008663A" w:rsidRDefault="00842F09" w:rsidP="00842F09">
            <w:pPr>
              <w:jc w:val="center"/>
              <w:rPr>
                <w:rFonts w:cs="Arial"/>
                <w:b/>
                <w:color w:val="000000"/>
                <w:sz w:val="22"/>
                <w:szCs w:val="22"/>
                <w:lang w:eastAsia="en-GB"/>
              </w:rPr>
            </w:pPr>
            <w:r w:rsidRPr="0008663A">
              <w:rPr>
                <w:rFonts w:cs="Arial"/>
                <w:b/>
                <w:color w:val="000000"/>
                <w:sz w:val="22"/>
                <w:szCs w:val="22"/>
                <w:lang w:eastAsia="en-GB"/>
              </w:rPr>
              <w:t>202</w:t>
            </w:r>
            <w:r w:rsidR="004616CB" w:rsidRPr="0008663A">
              <w:rPr>
                <w:rFonts w:cs="Arial"/>
                <w:b/>
                <w:color w:val="000000"/>
                <w:sz w:val="22"/>
                <w:szCs w:val="22"/>
                <w:lang w:eastAsia="en-GB"/>
              </w:rPr>
              <w:t>2</w:t>
            </w:r>
            <w:r w:rsidRPr="0008663A">
              <w:rPr>
                <w:rFonts w:cs="Arial"/>
                <w:b/>
                <w:color w:val="000000"/>
                <w:sz w:val="22"/>
                <w:szCs w:val="22"/>
                <w:lang w:eastAsia="en-GB"/>
              </w:rPr>
              <w:t>/2</w:t>
            </w:r>
            <w:r w:rsidR="004616CB" w:rsidRPr="0008663A">
              <w:rPr>
                <w:rFonts w:cs="Arial"/>
                <w:b/>
                <w:color w:val="000000"/>
                <w:sz w:val="22"/>
                <w:szCs w:val="22"/>
                <w:lang w:eastAsia="en-GB"/>
              </w:rPr>
              <w:t>3</w:t>
            </w:r>
          </w:p>
          <w:p w:rsidR="00B16EF8" w:rsidRPr="0008663A" w:rsidRDefault="00B16EF8" w:rsidP="00842F09">
            <w:pPr>
              <w:jc w:val="center"/>
              <w:rPr>
                <w:rFonts w:cs="Arial"/>
                <w:color w:val="000000"/>
                <w:sz w:val="22"/>
                <w:szCs w:val="22"/>
                <w:lang w:eastAsia="en-GB"/>
              </w:rPr>
            </w:pPr>
            <w:r w:rsidRPr="0008663A">
              <w:rPr>
                <w:rFonts w:cs="Arial"/>
                <w:b/>
                <w:color w:val="000000"/>
                <w:sz w:val="22"/>
                <w:szCs w:val="22"/>
                <w:lang w:eastAsia="en-GB"/>
              </w:rPr>
              <w:t>£000’s</w:t>
            </w:r>
          </w:p>
        </w:tc>
        <w:tc>
          <w:tcPr>
            <w:tcW w:w="1240" w:type="dxa"/>
            <w:shd w:val="clear" w:color="auto" w:fill="BFBFBF"/>
            <w:noWrap/>
            <w:vAlign w:val="bottom"/>
            <w:hideMark/>
          </w:tcPr>
          <w:p w:rsidR="00842F09" w:rsidRPr="0008663A" w:rsidRDefault="00842F09" w:rsidP="00842F09">
            <w:pPr>
              <w:jc w:val="center"/>
              <w:rPr>
                <w:rFonts w:cs="Arial"/>
                <w:b/>
                <w:color w:val="000000"/>
                <w:sz w:val="22"/>
                <w:szCs w:val="22"/>
                <w:lang w:eastAsia="en-GB"/>
              </w:rPr>
            </w:pPr>
            <w:r w:rsidRPr="0008663A">
              <w:rPr>
                <w:rFonts w:cs="Arial"/>
                <w:b/>
                <w:color w:val="000000"/>
                <w:sz w:val="22"/>
                <w:szCs w:val="22"/>
                <w:lang w:eastAsia="en-GB"/>
              </w:rPr>
              <w:t>202</w:t>
            </w:r>
            <w:r w:rsidR="0008663A" w:rsidRPr="0008663A">
              <w:rPr>
                <w:rFonts w:cs="Arial"/>
                <w:b/>
                <w:color w:val="000000"/>
                <w:sz w:val="22"/>
                <w:szCs w:val="22"/>
                <w:lang w:eastAsia="en-GB"/>
              </w:rPr>
              <w:t>3</w:t>
            </w:r>
            <w:r w:rsidRPr="0008663A">
              <w:rPr>
                <w:rFonts w:cs="Arial"/>
                <w:b/>
                <w:color w:val="000000"/>
                <w:sz w:val="22"/>
                <w:szCs w:val="22"/>
                <w:lang w:eastAsia="en-GB"/>
              </w:rPr>
              <w:t>/2</w:t>
            </w:r>
            <w:r w:rsidR="0008663A" w:rsidRPr="0008663A">
              <w:rPr>
                <w:rFonts w:cs="Arial"/>
                <w:b/>
                <w:color w:val="000000"/>
                <w:sz w:val="22"/>
                <w:szCs w:val="22"/>
                <w:lang w:eastAsia="en-GB"/>
              </w:rPr>
              <w:t>4</w:t>
            </w:r>
          </w:p>
          <w:p w:rsidR="00B16EF8" w:rsidRPr="0008663A" w:rsidRDefault="00B16EF8" w:rsidP="00842F09">
            <w:pPr>
              <w:jc w:val="center"/>
              <w:rPr>
                <w:rFonts w:cs="Arial"/>
                <w:color w:val="000000"/>
                <w:sz w:val="22"/>
                <w:szCs w:val="22"/>
                <w:lang w:eastAsia="en-GB"/>
              </w:rPr>
            </w:pPr>
            <w:r w:rsidRPr="0008663A">
              <w:rPr>
                <w:rFonts w:cs="Arial"/>
                <w:b/>
                <w:color w:val="000000"/>
                <w:sz w:val="22"/>
                <w:szCs w:val="22"/>
                <w:lang w:eastAsia="en-GB"/>
              </w:rPr>
              <w:t>£000’s</w:t>
            </w:r>
          </w:p>
        </w:tc>
        <w:tc>
          <w:tcPr>
            <w:tcW w:w="1240" w:type="dxa"/>
            <w:shd w:val="clear" w:color="auto" w:fill="BFBFBF"/>
            <w:noWrap/>
            <w:vAlign w:val="bottom"/>
            <w:hideMark/>
          </w:tcPr>
          <w:p w:rsidR="00842F09" w:rsidRPr="0008663A" w:rsidRDefault="00842F09" w:rsidP="00842F09">
            <w:pPr>
              <w:jc w:val="center"/>
              <w:rPr>
                <w:rFonts w:cs="Arial"/>
                <w:b/>
                <w:color w:val="000000"/>
                <w:sz w:val="22"/>
                <w:szCs w:val="22"/>
                <w:lang w:eastAsia="en-GB"/>
              </w:rPr>
            </w:pPr>
            <w:r w:rsidRPr="0008663A">
              <w:rPr>
                <w:rFonts w:cs="Arial"/>
                <w:b/>
                <w:color w:val="000000"/>
                <w:sz w:val="22"/>
                <w:szCs w:val="22"/>
                <w:lang w:eastAsia="en-GB"/>
              </w:rPr>
              <w:t>202</w:t>
            </w:r>
            <w:r w:rsidR="0008663A" w:rsidRPr="0008663A">
              <w:rPr>
                <w:rFonts w:cs="Arial"/>
                <w:b/>
                <w:color w:val="000000"/>
                <w:sz w:val="22"/>
                <w:szCs w:val="22"/>
                <w:lang w:eastAsia="en-GB"/>
              </w:rPr>
              <w:t>4</w:t>
            </w:r>
            <w:r w:rsidRPr="0008663A">
              <w:rPr>
                <w:rFonts w:cs="Arial"/>
                <w:b/>
                <w:color w:val="000000"/>
                <w:sz w:val="22"/>
                <w:szCs w:val="22"/>
                <w:lang w:eastAsia="en-GB"/>
              </w:rPr>
              <w:t>/2</w:t>
            </w:r>
            <w:r w:rsidR="0008663A" w:rsidRPr="0008663A">
              <w:rPr>
                <w:rFonts w:cs="Arial"/>
                <w:b/>
                <w:color w:val="000000"/>
                <w:sz w:val="22"/>
                <w:szCs w:val="22"/>
                <w:lang w:eastAsia="en-GB"/>
              </w:rPr>
              <w:t>5</w:t>
            </w:r>
          </w:p>
          <w:p w:rsidR="00B16EF8" w:rsidRPr="0008663A" w:rsidRDefault="00B16EF8" w:rsidP="00842F09">
            <w:pPr>
              <w:jc w:val="center"/>
              <w:rPr>
                <w:rFonts w:cs="Arial"/>
                <w:color w:val="000000"/>
                <w:sz w:val="22"/>
                <w:szCs w:val="22"/>
                <w:lang w:eastAsia="en-GB"/>
              </w:rPr>
            </w:pPr>
            <w:r w:rsidRPr="0008663A">
              <w:rPr>
                <w:rFonts w:cs="Arial"/>
                <w:b/>
                <w:color w:val="000000"/>
                <w:sz w:val="22"/>
                <w:szCs w:val="22"/>
                <w:lang w:eastAsia="en-GB"/>
              </w:rPr>
              <w:t>£000’s</w:t>
            </w:r>
          </w:p>
        </w:tc>
      </w:tr>
      <w:tr w:rsidR="00831753" w:rsidRPr="0008663A" w:rsidTr="005F15AB">
        <w:trPr>
          <w:trHeight w:val="300"/>
        </w:trPr>
        <w:tc>
          <w:tcPr>
            <w:tcW w:w="4420" w:type="dxa"/>
            <w:shd w:val="clear" w:color="000000" w:fill="FFFFFF"/>
            <w:noWrap/>
            <w:vAlign w:val="bottom"/>
            <w:hideMark/>
          </w:tcPr>
          <w:p w:rsidR="00B16EF8" w:rsidRPr="0008663A" w:rsidRDefault="00B16EF8" w:rsidP="005F15AB">
            <w:pPr>
              <w:rPr>
                <w:rFonts w:cs="Arial"/>
                <w:b/>
                <w:bCs/>
                <w:color w:val="000000"/>
                <w:sz w:val="22"/>
                <w:szCs w:val="22"/>
                <w:lang w:eastAsia="en-GB"/>
              </w:rPr>
            </w:pPr>
          </w:p>
        </w:tc>
        <w:tc>
          <w:tcPr>
            <w:tcW w:w="1124" w:type="dxa"/>
            <w:shd w:val="clear" w:color="000000" w:fill="FFFFFF"/>
            <w:noWrap/>
            <w:vAlign w:val="bottom"/>
            <w:hideMark/>
          </w:tcPr>
          <w:p w:rsidR="00B16EF8" w:rsidRPr="0008663A" w:rsidRDefault="00B16EF8" w:rsidP="005F15AB">
            <w:pPr>
              <w:jc w:val="right"/>
              <w:rPr>
                <w:rFonts w:cs="Arial"/>
                <w:color w:val="000000"/>
                <w:sz w:val="22"/>
                <w:szCs w:val="22"/>
                <w:lang w:eastAsia="en-GB"/>
              </w:rPr>
            </w:pPr>
            <w:r w:rsidRPr="0008663A">
              <w:rPr>
                <w:rFonts w:cs="Arial"/>
                <w:color w:val="000000"/>
                <w:sz w:val="22"/>
                <w:szCs w:val="22"/>
                <w:lang w:eastAsia="en-GB"/>
              </w:rPr>
              <w:t> </w:t>
            </w:r>
          </w:p>
        </w:tc>
        <w:tc>
          <w:tcPr>
            <w:tcW w:w="1356" w:type="dxa"/>
            <w:shd w:val="clear" w:color="000000" w:fill="FFFFFF"/>
            <w:noWrap/>
            <w:vAlign w:val="bottom"/>
            <w:hideMark/>
          </w:tcPr>
          <w:p w:rsidR="00B16EF8" w:rsidRPr="0008663A" w:rsidRDefault="00B16EF8" w:rsidP="005F15AB">
            <w:pPr>
              <w:jc w:val="right"/>
              <w:rPr>
                <w:rFonts w:cs="Arial"/>
                <w:color w:val="000000"/>
                <w:sz w:val="22"/>
                <w:szCs w:val="22"/>
                <w:lang w:eastAsia="en-GB"/>
              </w:rPr>
            </w:pPr>
            <w:r w:rsidRPr="0008663A">
              <w:rPr>
                <w:rFonts w:cs="Arial"/>
                <w:color w:val="000000"/>
                <w:sz w:val="22"/>
                <w:szCs w:val="22"/>
                <w:lang w:eastAsia="en-GB"/>
              </w:rPr>
              <w:t> </w:t>
            </w:r>
          </w:p>
        </w:tc>
        <w:tc>
          <w:tcPr>
            <w:tcW w:w="1240" w:type="dxa"/>
            <w:shd w:val="clear" w:color="000000" w:fill="FFFFFF"/>
            <w:noWrap/>
            <w:vAlign w:val="bottom"/>
            <w:hideMark/>
          </w:tcPr>
          <w:p w:rsidR="00B16EF8" w:rsidRPr="0008663A" w:rsidRDefault="00B16EF8" w:rsidP="005F15AB">
            <w:pPr>
              <w:jc w:val="right"/>
              <w:rPr>
                <w:rFonts w:cs="Arial"/>
                <w:color w:val="000000"/>
                <w:sz w:val="22"/>
                <w:szCs w:val="22"/>
                <w:lang w:eastAsia="en-GB"/>
              </w:rPr>
            </w:pPr>
            <w:r w:rsidRPr="0008663A">
              <w:rPr>
                <w:rFonts w:cs="Arial"/>
                <w:color w:val="000000"/>
                <w:sz w:val="22"/>
                <w:szCs w:val="22"/>
                <w:lang w:eastAsia="en-GB"/>
              </w:rPr>
              <w:t> </w:t>
            </w:r>
          </w:p>
        </w:tc>
        <w:tc>
          <w:tcPr>
            <w:tcW w:w="1240" w:type="dxa"/>
            <w:shd w:val="clear" w:color="000000" w:fill="FFFFFF"/>
            <w:noWrap/>
            <w:vAlign w:val="bottom"/>
            <w:hideMark/>
          </w:tcPr>
          <w:p w:rsidR="00B16EF8" w:rsidRPr="0008663A" w:rsidRDefault="00B16EF8" w:rsidP="005F15AB">
            <w:pPr>
              <w:jc w:val="right"/>
              <w:rPr>
                <w:rFonts w:cs="Arial"/>
                <w:color w:val="000000"/>
                <w:sz w:val="22"/>
                <w:szCs w:val="22"/>
                <w:lang w:eastAsia="en-GB"/>
              </w:rPr>
            </w:pPr>
            <w:r w:rsidRPr="0008663A">
              <w:rPr>
                <w:rFonts w:cs="Arial"/>
                <w:color w:val="000000"/>
                <w:sz w:val="22"/>
                <w:szCs w:val="22"/>
                <w:lang w:eastAsia="en-GB"/>
              </w:rPr>
              <w:t> </w:t>
            </w:r>
          </w:p>
        </w:tc>
      </w:tr>
      <w:tr w:rsidR="00831753" w:rsidRPr="0008663A" w:rsidTr="005F15AB">
        <w:trPr>
          <w:trHeight w:val="300"/>
        </w:trPr>
        <w:tc>
          <w:tcPr>
            <w:tcW w:w="4420" w:type="dxa"/>
            <w:shd w:val="clear" w:color="000000" w:fill="FFFFFF"/>
            <w:noWrap/>
            <w:vAlign w:val="bottom"/>
            <w:hideMark/>
          </w:tcPr>
          <w:p w:rsidR="00B16EF8" w:rsidRPr="0008663A" w:rsidRDefault="00B16EF8" w:rsidP="005F15AB">
            <w:pPr>
              <w:rPr>
                <w:rFonts w:cs="Arial"/>
                <w:color w:val="000000"/>
                <w:sz w:val="22"/>
                <w:szCs w:val="22"/>
                <w:lang w:eastAsia="en-GB"/>
              </w:rPr>
            </w:pPr>
            <w:r w:rsidRPr="0008663A">
              <w:rPr>
                <w:rFonts w:cs="Arial"/>
                <w:color w:val="000000"/>
                <w:sz w:val="22"/>
                <w:szCs w:val="22"/>
                <w:lang w:eastAsia="en-GB"/>
              </w:rPr>
              <w:t> Income</w:t>
            </w:r>
          </w:p>
        </w:tc>
        <w:tc>
          <w:tcPr>
            <w:tcW w:w="1124" w:type="dxa"/>
            <w:shd w:val="clear" w:color="000000" w:fill="FFFFFF"/>
            <w:noWrap/>
            <w:vAlign w:val="bottom"/>
          </w:tcPr>
          <w:p w:rsidR="0008663A" w:rsidRPr="0008663A" w:rsidRDefault="0008663A" w:rsidP="0008663A">
            <w:pPr>
              <w:jc w:val="right"/>
              <w:rPr>
                <w:rFonts w:cs="Arial"/>
                <w:color w:val="000000"/>
                <w:sz w:val="22"/>
                <w:szCs w:val="22"/>
                <w:lang w:eastAsia="en-GB"/>
              </w:rPr>
            </w:pPr>
            <w:r w:rsidRPr="0008663A">
              <w:rPr>
                <w:rFonts w:cs="Arial"/>
                <w:color w:val="000000"/>
                <w:sz w:val="22"/>
                <w:szCs w:val="22"/>
                <w:lang w:eastAsia="en-GB"/>
              </w:rPr>
              <w:t>(46,649)</w:t>
            </w:r>
          </w:p>
        </w:tc>
        <w:tc>
          <w:tcPr>
            <w:tcW w:w="1356" w:type="dxa"/>
            <w:shd w:val="clear" w:color="000000" w:fill="FFFFFF"/>
            <w:noWrap/>
            <w:vAlign w:val="bottom"/>
          </w:tcPr>
          <w:p w:rsidR="00B16EF8" w:rsidRPr="0008663A" w:rsidRDefault="0008663A" w:rsidP="005F15AB">
            <w:pPr>
              <w:jc w:val="right"/>
              <w:rPr>
                <w:rFonts w:cs="Arial"/>
                <w:color w:val="000000"/>
                <w:sz w:val="22"/>
                <w:szCs w:val="22"/>
                <w:lang w:eastAsia="en-GB"/>
              </w:rPr>
            </w:pPr>
            <w:r w:rsidRPr="0008663A">
              <w:rPr>
                <w:rFonts w:cs="Arial"/>
                <w:color w:val="000000"/>
                <w:sz w:val="22"/>
                <w:szCs w:val="22"/>
                <w:lang w:eastAsia="en-GB"/>
              </w:rPr>
              <w:t>(48,802)</w:t>
            </w:r>
          </w:p>
        </w:tc>
        <w:tc>
          <w:tcPr>
            <w:tcW w:w="1240" w:type="dxa"/>
            <w:shd w:val="clear" w:color="000000" w:fill="FFFFFF"/>
            <w:noWrap/>
            <w:vAlign w:val="bottom"/>
          </w:tcPr>
          <w:p w:rsidR="00B16EF8" w:rsidRPr="0008663A" w:rsidRDefault="0008663A" w:rsidP="005F15AB">
            <w:pPr>
              <w:jc w:val="right"/>
              <w:rPr>
                <w:rFonts w:cs="Arial"/>
                <w:color w:val="000000"/>
                <w:sz w:val="22"/>
                <w:szCs w:val="22"/>
                <w:lang w:eastAsia="en-GB"/>
              </w:rPr>
            </w:pPr>
            <w:r w:rsidRPr="0008663A">
              <w:rPr>
                <w:rFonts w:cs="Arial"/>
                <w:color w:val="000000"/>
                <w:sz w:val="22"/>
                <w:szCs w:val="22"/>
                <w:lang w:eastAsia="en-GB"/>
              </w:rPr>
              <w:t>(51,063)</w:t>
            </w:r>
          </w:p>
        </w:tc>
        <w:tc>
          <w:tcPr>
            <w:tcW w:w="1240" w:type="dxa"/>
            <w:shd w:val="clear" w:color="000000" w:fill="FFFFFF"/>
            <w:noWrap/>
            <w:vAlign w:val="bottom"/>
          </w:tcPr>
          <w:p w:rsidR="00B16EF8" w:rsidRPr="0008663A" w:rsidRDefault="0008663A" w:rsidP="005F15AB">
            <w:pPr>
              <w:jc w:val="right"/>
              <w:rPr>
                <w:rFonts w:cs="Arial"/>
                <w:color w:val="000000"/>
                <w:sz w:val="22"/>
                <w:szCs w:val="22"/>
                <w:lang w:eastAsia="en-GB"/>
              </w:rPr>
            </w:pPr>
            <w:r w:rsidRPr="0008663A">
              <w:rPr>
                <w:rFonts w:cs="Arial"/>
                <w:color w:val="000000"/>
                <w:sz w:val="22"/>
                <w:szCs w:val="22"/>
                <w:lang w:eastAsia="en-GB"/>
              </w:rPr>
              <w:t>(55,480)</w:t>
            </w:r>
          </w:p>
        </w:tc>
      </w:tr>
      <w:tr w:rsidR="00831753" w:rsidRPr="0008663A" w:rsidTr="005F15AB">
        <w:trPr>
          <w:trHeight w:val="288"/>
        </w:trPr>
        <w:tc>
          <w:tcPr>
            <w:tcW w:w="4420" w:type="dxa"/>
            <w:tcBorders>
              <w:bottom w:val="single" w:sz="4" w:space="0" w:color="auto"/>
            </w:tcBorders>
            <w:shd w:val="clear" w:color="auto" w:fill="auto"/>
            <w:noWrap/>
            <w:vAlign w:val="bottom"/>
          </w:tcPr>
          <w:p w:rsidR="00B16EF8" w:rsidRPr="0008663A" w:rsidRDefault="00B16EF8" w:rsidP="005F15AB">
            <w:pPr>
              <w:rPr>
                <w:rFonts w:cs="Arial"/>
                <w:color w:val="000000"/>
                <w:sz w:val="22"/>
                <w:szCs w:val="22"/>
                <w:lang w:eastAsia="en-GB"/>
              </w:rPr>
            </w:pPr>
            <w:r w:rsidRPr="0008663A">
              <w:rPr>
                <w:rFonts w:cs="Arial"/>
                <w:color w:val="000000"/>
                <w:sz w:val="22"/>
                <w:szCs w:val="22"/>
                <w:lang w:eastAsia="en-GB"/>
              </w:rPr>
              <w:t>Expenditure</w:t>
            </w:r>
          </w:p>
        </w:tc>
        <w:tc>
          <w:tcPr>
            <w:tcW w:w="1124" w:type="dxa"/>
            <w:tcBorders>
              <w:bottom w:val="single" w:sz="4" w:space="0" w:color="auto"/>
            </w:tcBorders>
            <w:shd w:val="clear" w:color="auto" w:fill="auto"/>
            <w:noWrap/>
            <w:vAlign w:val="bottom"/>
          </w:tcPr>
          <w:p w:rsidR="00B16EF8" w:rsidRPr="0008663A" w:rsidRDefault="0008663A" w:rsidP="00831753">
            <w:pPr>
              <w:jc w:val="right"/>
              <w:rPr>
                <w:sz w:val="22"/>
                <w:szCs w:val="22"/>
                <w:lang w:eastAsia="en-GB"/>
              </w:rPr>
            </w:pPr>
            <w:r w:rsidRPr="0008663A">
              <w:rPr>
                <w:sz w:val="22"/>
                <w:szCs w:val="22"/>
                <w:lang w:eastAsia="en-GB"/>
              </w:rPr>
              <w:t>46,</w:t>
            </w:r>
            <w:r w:rsidR="00831753">
              <w:rPr>
                <w:sz w:val="22"/>
                <w:szCs w:val="22"/>
                <w:lang w:eastAsia="en-GB"/>
              </w:rPr>
              <w:t>321</w:t>
            </w:r>
          </w:p>
        </w:tc>
        <w:tc>
          <w:tcPr>
            <w:tcW w:w="1356" w:type="dxa"/>
            <w:tcBorders>
              <w:bottom w:val="single" w:sz="4" w:space="0" w:color="auto"/>
            </w:tcBorders>
            <w:shd w:val="clear" w:color="auto" w:fill="auto"/>
            <w:noWrap/>
            <w:vAlign w:val="bottom"/>
          </w:tcPr>
          <w:p w:rsidR="00B16EF8" w:rsidRPr="0008663A" w:rsidRDefault="0008663A" w:rsidP="00831753">
            <w:pPr>
              <w:jc w:val="right"/>
              <w:rPr>
                <w:sz w:val="22"/>
                <w:szCs w:val="22"/>
                <w:lang w:eastAsia="en-GB"/>
              </w:rPr>
            </w:pPr>
            <w:r w:rsidRPr="0008663A">
              <w:rPr>
                <w:sz w:val="22"/>
                <w:szCs w:val="22"/>
                <w:lang w:eastAsia="en-GB"/>
              </w:rPr>
              <w:t>4</w:t>
            </w:r>
            <w:r w:rsidR="00831753">
              <w:rPr>
                <w:sz w:val="22"/>
                <w:szCs w:val="22"/>
                <w:lang w:eastAsia="en-GB"/>
              </w:rPr>
              <w:t>8</w:t>
            </w:r>
            <w:r w:rsidRPr="0008663A">
              <w:rPr>
                <w:sz w:val="22"/>
                <w:szCs w:val="22"/>
                <w:lang w:eastAsia="en-GB"/>
              </w:rPr>
              <w:t>,</w:t>
            </w:r>
            <w:r w:rsidR="00831753">
              <w:rPr>
                <w:sz w:val="22"/>
                <w:szCs w:val="22"/>
                <w:lang w:eastAsia="en-GB"/>
              </w:rPr>
              <w:t>333</w:t>
            </w:r>
          </w:p>
        </w:tc>
        <w:tc>
          <w:tcPr>
            <w:tcW w:w="1240" w:type="dxa"/>
            <w:tcBorders>
              <w:bottom w:val="single" w:sz="4" w:space="0" w:color="auto"/>
            </w:tcBorders>
            <w:shd w:val="clear" w:color="auto" w:fill="auto"/>
            <w:noWrap/>
            <w:vAlign w:val="bottom"/>
          </w:tcPr>
          <w:p w:rsidR="00B16EF8" w:rsidRPr="0008663A" w:rsidRDefault="0008663A" w:rsidP="00831753">
            <w:pPr>
              <w:jc w:val="right"/>
              <w:rPr>
                <w:sz w:val="22"/>
                <w:szCs w:val="22"/>
                <w:lang w:eastAsia="en-GB"/>
              </w:rPr>
            </w:pPr>
            <w:r w:rsidRPr="0008663A">
              <w:rPr>
                <w:sz w:val="22"/>
                <w:szCs w:val="22"/>
                <w:lang w:eastAsia="en-GB"/>
              </w:rPr>
              <w:t>50,</w:t>
            </w:r>
            <w:r w:rsidR="00831753">
              <w:rPr>
                <w:sz w:val="22"/>
                <w:szCs w:val="22"/>
                <w:lang w:eastAsia="en-GB"/>
              </w:rPr>
              <w:t>761</w:t>
            </w:r>
          </w:p>
        </w:tc>
        <w:tc>
          <w:tcPr>
            <w:tcW w:w="1240" w:type="dxa"/>
            <w:tcBorders>
              <w:bottom w:val="single" w:sz="4" w:space="0" w:color="auto"/>
            </w:tcBorders>
            <w:shd w:val="clear" w:color="auto" w:fill="auto"/>
            <w:noWrap/>
            <w:vAlign w:val="bottom"/>
          </w:tcPr>
          <w:p w:rsidR="00B16EF8" w:rsidRPr="0008663A" w:rsidRDefault="0008663A" w:rsidP="00831753">
            <w:pPr>
              <w:jc w:val="right"/>
              <w:rPr>
                <w:sz w:val="22"/>
                <w:szCs w:val="22"/>
                <w:lang w:eastAsia="en-GB"/>
              </w:rPr>
            </w:pPr>
            <w:r w:rsidRPr="0008663A">
              <w:rPr>
                <w:sz w:val="22"/>
                <w:szCs w:val="22"/>
                <w:lang w:eastAsia="en-GB"/>
              </w:rPr>
              <w:t>52,</w:t>
            </w:r>
            <w:r w:rsidR="00831753">
              <w:rPr>
                <w:sz w:val="22"/>
                <w:szCs w:val="22"/>
                <w:lang w:eastAsia="en-GB"/>
              </w:rPr>
              <w:t>793</w:t>
            </w:r>
          </w:p>
        </w:tc>
      </w:tr>
      <w:tr w:rsidR="00831753" w:rsidRPr="0008663A" w:rsidTr="005F15AB">
        <w:trPr>
          <w:trHeight w:val="288"/>
        </w:trPr>
        <w:tc>
          <w:tcPr>
            <w:tcW w:w="4420" w:type="dxa"/>
            <w:tcBorders>
              <w:top w:val="single" w:sz="4" w:space="0" w:color="auto"/>
              <w:bottom w:val="nil"/>
            </w:tcBorders>
            <w:shd w:val="clear" w:color="auto" w:fill="auto"/>
            <w:noWrap/>
            <w:vAlign w:val="bottom"/>
          </w:tcPr>
          <w:p w:rsidR="00B16EF8" w:rsidRPr="0008663A" w:rsidRDefault="00B16EF8" w:rsidP="005F15AB">
            <w:pPr>
              <w:rPr>
                <w:rFonts w:cs="Arial"/>
                <w:b/>
                <w:color w:val="000000"/>
                <w:sz w:val="22"/>
                <w:szCs w:val="22"/>
                <w:lang w:eastAsia="en-GB"/>
              </w:rPr>
            </w:pPr>
            <w:r w:rsidRPr="0008663A">
              <w:rPr>
                <w:rFonts w:cs="Arial"/>
                <w:b/>
                <w:color w:val="000000"/>
                <w:sz w:val="22"/>
                <w:szCs w:val="22"/>
                <w:lang w:eastAsia="en-GB"/>
              </w:rPr>
              <w:t>Net Operating Expenditure</w:t>
            </w:r>
          </w:p>
        </w:tc>
        <w:tc>
          <w:tcPr>
            <w:tcW w:w="1124" w:type="dxa"/>
            <w:tcBorders>
              <w:top w:val="single" w:sz="4" w:space="0" w:color="auto"/>
              <w:bottom w:val="nil"/>
            </w:tcBorders>
            <w:shd w:val="clear" w:color="auto" w:fill="auto"/>
            <w:noWrap/>
            <w:vAlign w:val="bottom"/>
          </w:tcPr>
          <w:p w:rsidR="0008663A" w:rsidRPr="0008663A" w:rsidRDefault="0008663A" w:rsidP="00831753">
            <w:pPr>
              <w:jc w:val="right"/>
              <w:rPr>
                <w:b/>
                <w:sz w:val="22"/>
                <w:szCs w:val="22"/>
                <w:lang w:eastAsia="en-GB"/>
              </w:rPr>
            </w:pPr>
            <w:r w:rsidRPr="0008663A">
              <w:rPr>
                <w:b/>
                <w:sz w:val="22"/>
                <w:szCs w:val="22"/>
                <w:lang w:eastAsia="en-GB"/>
              </w:rPr>
              <w:t>(</w:t>
            </w:r>
            <w:r w:rsidR="00831753">
              <w:rPr>
                <w:b/>
                <w:sz w:val="22"/>
                <w:szCs w:val="22"/>
                <w:lang w:eastAsia="en-GB"/>
              </w:rPr>
              <w:t>328</w:t>
            </w:r>
            <w:r w:rsidRPr="0008663A">
              <w:rPr>
                <w:b/>
                <w:sz w:val="22"/>
                <w:szCs w:val="22"/>
                <w:lang w:eastAsia="en-GB"/>
              </w:rPr>
              <w:t>)</w:t>
            </w:r>
          </w:p>
        </w:tc>
        <w:tc>
          <w:tcPr>
            <w:tcW w:w="1356" w:type="dxa"/>
            <w:tcBorders>
              <w:top w:val="single" w:sz="4" w:space="0" w:color="auto"/>
              <w:bottom w:val="nil"/>
            </w:tcBorders>
            <w:shd w:val="clear" w:color="auto" w:fill="auto"/>
            <w:noWrap/>
            <w:vAlign w:val="bottom"/>
          </w:tcPr>
          <w:p w:rsidR="00B16EF8" w:rsidRPr="0008663A" w:rsidRDefault="0008663A" w:rsidP="00831753">
            <w:pPr>
              <w:jc w:val="right"/>
              <w:rPr>
                <w:b/>
                <w:sz w:val="22"/>
                <w:szCs w:val="22"/>
                <w:lang w:eastAsia="en-GB"/>
              </w:rPr>
            </w:pPr>
            <w:r w:rsidRPr="0008663A">
              <w:rPr>
                <w:b/>
                <w:sz w:val="22"/>
                <w:szCs w:val="22"/>
                <w:lang w:eastAsia="en-GB"/>
              </w:rPr>
              <w:t>(</w:t>
            </w:r>
            <w:r w:rsidR="00831753">
              <w:rPr>
                <w:b/>
                <w:sz w:val="22"/>
                <w:szCs w:val="22"/>
                <w:lang w:eastAsia="en-GB"/>
              </w:rPr>
              <w:t>467</w:t>
            </w:r>
            <w:r w:rsidRPr="0008663A">
              <w:rPr>
                <w:b/>
                <w:sz w:val="22"/>
                <w:szCs w:val="22"/>
                <w:lang w:eastAsia="en-GB"/>
              </w:rPr>
              <w:t>)</w:t>
            </w:r>
          </w:p>
        </w:tc>
        <w:tc>
          <w:tcPr>
            <w:tcW w:w="1240" w:type="dxa"/>
            <w:tcBorders>
              <w:top w:val="single" w:sz="4" w:space="0" w:color="auto"/>
              <w:bottom w:val="nil"/>
            </w:tcBorders>
            <w:shd w:val="clear" w:color="auto" w:fill="auto"/>
            <w:noWrap/>
            <w:vAlign w:val="bottom"/>
          </w:tcPr>
          <w:p w:rsidR="00B16EF8" w:rsidRPr="0008663A" w:rsidRDefault="0008663A" w:rsidP="00831753">
            <w:pPr>
              <w:jc w:val="right"/>
              <w:rPr>
                <w:b/>
                <w:sz w:val="22"/>
                <w:szCs w:val="22"/>
                <w:lang w:eastAsia="en-GB"/>
              </w:rPr>
            </w:pPr>
            <w:r w:rsidRPr="0008663A">
              <w:rPr>
                <w:b/>
                <w:sz w:val="22"/>
                <w:szCs w:val="22"/>
                <w:lang w:eastAsia="en-GB"/>
              </w:rPr>
              <w:t>(</w:t>
            </w:r>
            <w:r w:rsidR="00831753">
              <w:rPr>
                <w:b/>
                <w:sz w:val="22"/>
                <w:szCs w:val="22"/>
                <w:lang w:eastAsia="en-GB"/>
              </w:rPr>
              <w:t>311</w:t>
            </w:r>
            <w:r w:rsidRPr="0008663A">
              <w:rPr>
                <w:b/>
                <w:sz w:val="22"/>
                <w:szCs w:val="22"/>
                <w:lang w:eastAsia="en-GB"/>
              </w:rPr>
              <w:t>)</w:t>
            </w:r>
          </w:p>
        </w:tc>
        <w:tc>
          <w:tcPr>
            <w:tcW w:w="1240" w:type="dxa"/>
            <w:tcBorders>
              <w:top w:val="single" w:sz="4" w:space="0" w:color="auto"/>
              <w:bottom w:val="nil"/>
            </w:tcBorders>
            <w:shd w:val="clear" w:color="auto" w:fill="auto"/>
            <w:noWrap/>
            <w:vAlign w:val="bottom"/>
          </w:tcPr>
          <w:p w:rsidR="00B16EF8" w:rsidRPr="0008663A" w:rsidRDefault="0008663A" w:rsidP="00831753">
            <w:pPr>
              <w:jc w:val="right"/>
              <w:rPr>
                <w:b/>
                <w:sz w:val="22"/>
                <w:szCs w:val="22"/>
                <w:lang w:eastAsia="en-GB"/>
              </w:rPr>
            </w:pPr>
            <w:r w:rsidRPr="0008663A">
              <w:rPr>
                <w:b/>
                <w:sz w:val="22"/>
                <w:szCs w:val="22"/>
                <w:lang w:eastAsia="en-GB"/>
              </w:rPr>
              <w:t>(</w:t>
            </w:r>
            <w:r w:rsidR="00831753">
              <w:rPr>
                <w:b/>
                <w:sz w:val="22"/>
                <w:szCs w:val="22"/>
                <w:lang w:eastAsia="en-GB"/>
              </w:rPr>
              <w:t>2,694</w:t>
            </w:r>
            <w:r w:rsidRPr="0008663A">
              <w:rPr>
                <w:b/>
                <w:sz w:val="22"/>
                <w:szCs w:val="22"/>
                <w:lang w:eastAsia="en-GB"/>
              </w:rPr>
              <w:t>)</w:t>
            </w:r>
          </w:p>
        </w:tc>
      </w:tr>
      <w:tr w:rsidR="00831753" w:rsidRPr="0008663A" w:rsidTr="005F15AB">
        <w:trPr>
          <w:trHeight w:val="288"/>
        </w:trPr>
        <w:tc>
          <w:tcPr>
            <w:tcW w:w="4420" w:type="dxa"/>
            <w:shd w:val="clear" w:color="auto" w:fill="auto"/>
            <w:noWrap/>
            <w:vAlign w:val="bottom"/>
          </w:tcPr>
          <w:p w:rsidR="00B16EF8" w:rsidRPr="0008663A" w:rsidRDefault="00B16EF8" w:rsidP="005F15AB">
            <w:pPr>
              <w:rPr>
                <w:rFonts w:cs="Arial"/>
                <w:color w:val="000000"/>
                <w:sz w:val="22"/>
                <w:szCs w:val="22"/>
                <w:lang w:eastAsia="en-GB"/>
              </w:rPr>
            </w:pPr>
            <w:r w:rsidRPr="0008663A">
              <w:rPr>
                <w:rFonts w:cs="Arial"/>
                <w:color w:val="000000"/>
                <w:sz w:val="22"/>
                <w:szCs w:val="22"/>
                <w:lang w:eastAsia="en-GB"/>
              </w:rPr>
              <w:t>Investment income</w:t>
            </w:r>
          </w:p>
        </w:tc>
        <w:tc>
          <w:tcPr>
            <w:tcW w:w="1124" w:type="dxa"/>
            <w:shd w:val="clear" w:color="auto" w:fill="auto"/>
            <w:noWrap/>
            <w:vAlign w:val="bottom"/>
          </w:tcPr>
          <w:p w:rsidR="00B16EF8" w:rsidRPr="0008663A" w:rsidRDefault="0008663A" w:rsidP="005F15AB">
            <w:pPr>
              <w:jc w:val="right"/>
              <w:rPr>
                <w:sz w:val="22"/>
                <w:szCs w:val="22"/>
                <w:lang w:eastAsia="en-GB"/>
              </w:rPr>
            </w:pPr>
            <w:r w:rsidRPr="0008663A">
              <w:rPr>
                <w:sz w:val="22"/>
                <w:szCs w:val="22"/>
                <w:lang w:eastAsia="en-GB"/>
              </w:rPr>
              <w:t>(62)</w:t>
            </w:r>
          </w:p>
        </w:tc>
        <w:tc>
          <w:tcPr>
            <w:tcW w:w="1356" w:type="dxa"/>
            <w:shd w:val="clear" w:color="auto" w:fill="auto"/>
            <w:noWrap/>
            <w:vAlign w:val="bottom"/>
          </w:tcPr>
          <w:p w:rsidR="00B16EF8" w:rsidRPr="0008663A" w:rsidRDefault="0008663A" w:rsidP="00831753">
            <w:pPr>
              <w:jc w:val="right"/>
              <w:rPr>
                <w:sz w:val="22"/>
                <w:szCs w:val="22"/>
                <w:lang w:eastAsia="en-GB"/>
              </w:rPr>
            </w:pPr>
            <w:r w:rsidRPr="0008663A">
              <w:rPr>
                <w:sz w:val="22"/>
                <w:szCs w:val="22"/>
                <w:lang w:eastAsia="en-GB"/>
              </w:rPr>
              <w:t>(5</w:t>
            </w:r>
            <w:r w:rsidR="00831753">
              <w:rPr>
                <w:sz w:val="22"/>
                <w:szCs w:val="22"/>
                <w:lang w:eastAsia="en-GB"/>
              </w:rPr>
              <w:t>5</w:t>
            </w:r>
            <w:r w:rsidRPr="0008663A">
              <w:rPr>
                <w:sz w:val="22"/>
                <w:szCs w:val="22"/>
                <w:lang w:eastAsia="en-GB"/>
              </w:rPr>
              <w:t>)</w:t>
            </w:r>
          </w:p>
        </w:tc>
        <w:tc>
          <w:tcPr>
            <w:tcW w:w="1240" w:type="dxa"/>
            <w:shd w:val="clear" w:color="auto" w:fill="auto"/>
            <w:noWrap/>
            <w:vAlign w:val="bottom"/>
          </w:tcPr>
          <w:p w:rsidR="00B16EF8" w:rsidRPr="0008663A" w:rsidRDefault="0008663A" w:rsidP="00831753">
            <w:pPr>
              <w:jc w:val="right"/>
              <w:rPr>
                <w:sz w:val="22"/>
                <w:szCs w:val="22"/>
                <w:lang w:eastAsia="en-GB"/>
              </w:rPr>
            </w:pPr>
            <w:r w:rsidRPr="0008663A">
              <w:rPr>
                <w:sz w:val="22"/>
                <w:szCs w:val="22"/>
                <w:lang w:eastAsia="en-GB"/>
              </w:rPr>
              <w:t>(</w:t>
            </w:r>
            <w:r w:rsidR="00831753">
              <w:rPr>
                <w:sz w:val="22"/>
                <w:szCs w:val="22"/>
                <w:lang w:eastAsia="en-GB"/>
              </w:rPr>
              <w:t>57</w:t>
            </w:r>
            <w:r w:rsidRPr="0008663A">
              <w:rPr>
                <w:sz w:val="22"/>
                <w:szCs w:val="22"/>
                <w:lang w:eastAsia="en-GB"/>
              </w:rPr>
              <w:t>)</w:t>
            </w:r>
          </w:p>
        </w:tc>
        <w:tc>
          <w:tcPr>
            <w:tcW w:w="1240" w:type="dxa"/>
            <w:shd w:val="clear" w:color="auto" w:fill="auto"/>
            <w:noWrap/>
            <w:vAlign w:val="bottom"/>
          </w:tcPr>
          <w:p w:rsidR="00B16EF8" w:rsidRPr="0008663A" w:rsidRDefault="0008663A" w:rsidP="00831753">
            <w:pPr>
              <w:jc w:val="right"/>
              <w:rPr>
                <w:sz w:val="22"/>
                <w:szCs w:val="22"/>
                <w:lang w:eastAsia="en-GB"/>
              </w:rPr>
            </w:pPr>
            <w:r w:rsidRPr="0008663A">
              <w:rPr>
                <w:sz w:val="22"/>
                <w:szCs w:val="22"/>
                <w:lang w:eastAsia="en-GB"/>
              </w:rPr>
              <w:t>(</w:t>
            </w:r>
            <w:r w:rsidR="00831753">
              <w:rPr>
                <w:sz w:val="22"/>
                <w:szCs w:val="22"/>
                <w:lang w:eastAsia="en-GB"/>
              </w:rPr>
              <w:t>66</w:t>
            </w:r>
            <w:r w:rsidRPr="0008663A">
              <w:rPr>
                <w:sz w:val="22"/>
                <w:szCs w:val="22"/>
                <w:lang w:eastAsia="en-GB"/>
              </w:rPr>
              <w:t>)</w:t>
            </w:r>
          </w:p>
        </w:tc>
      </w:tr>
      <w:tr w:rsidR="00831753" w:rsidRPr="0008663A" w:rsidTr="005F15AB">
        <w:trPr>
          <w:trHeight w:val="288"/>
        </w:trPr>
        <w:tc>
          <w:tcPr>
            <w:tcW w:w="4420" w:type="dxa"/>
            <w:shd w:val="clear" w:color="auto" w:fill="auto"/>
            <w:noWrap/>
            <w:vAlign w:val="bottom"/>
          </w:tcPr>
          <w:p w:rsidR="00B16EF8" w:rsidRPr="0008663A" w:rsidRDefault="00B16EF8" w:rsidP="005F15AB">
            <w:pPr>
              <w:rPr>
                <w:rFonts w:cs="Arial"/>
                <w:b/>
                <w:color w:val="000000"/>
                <w:sz w:val="22"/>
                <w:szCs w:val="22"/>
                <w:lang w:eastAsia="en-GB"/>
              </w:rPr>
            </w:pPr>
            <w:r w:rsidRPr="0008663A">
              <w:rPr>
                <w:rFonts w:cs="Arial"/>
                <w:b/>
                <w:color w:val="000000"/>
                <w:sz w:val="22"/>
                <w:szCs w:val="22"/>
                <w:lang w:eastAsia="en-GB"/>
              </w:rPr>
              <w:t>(Surplus)/Deficit for the Year</w:t>
            </w:r>
          </w:p>
        </w:tc>
        <w:tc>
          <w:tcPr>
            <w:tcW w:w="1124" w:type="dxa"/>
            <w:shd w:val="clear" w:color="auto" w:fill="auto"/>
            <w:noWrap/>
            <w:vAlign w:val="bottom"/>
          </w:tcPr>
          <w:p w:rsidR="00B16EF8" w:rsidRPr="0008663A" w:rsidRDefault="0008663A" w:rsidP="00831753">
            <w:pPr>
              <w:jc w:val="right"/>
              <w:rPr>
                <w:b/>
                <w:sz w:val="22"/>
                <w:szCs w:val="22"/>
                <w:lang w:eastAsia="en-GB"/>
              </w:rPr>
            </w:pPr>
            <w:r w:rsidRPr="0008663A">
              <w:rPr>
                <w:b/>
                <w:sz w:val="22"/>
                <w:szCs w:val="22"/>
                <w:lang w:eastAsia="en-GB"/>
              </w:rPr>
              <w:t>(</w:t>
            </w:r>
            <w:r w:rsidR="00831753">
              <w:rPr>
                <w:b/>
                <w:sz w:val="22"/>
                <w:szCs w:val="22"/>
                <w:lang w:eastAsia="en-GB"/>
              </w:rPr>
              <w:t>389</w:t>
            </w:r>
            <w:r w:rsidRPr="0008663A">
              <w:rPr>
                <w:b/>
                <w:sz w:val="22"/>
                <w:szCs w:val="22"/>
                <w:lang w:eastAsia="en-GB"/>
              </w:rPr>
              <w:t>)</w:t>
            </w:r>
          </w:p>
        </w:tc>
        <w:tc>
          <w:tcPr>
            <w:tcW w:w="1356" w:type="dxa"/>
            <w:shd w:val="clear" w:color="auto" w:fill="auto"/>
            <w:noWrap/>
            <w:vAlign w:val="bottom"/>
          </w:tcPr>
          <w:p w:rsidR="00B16EF8" w:rsidRPr="0008663A" w:rsidRDefault="0008663A" w:rsidP="00831753">
            <w:pPr>
              <w:jc w:val="right"/>
              <w:rPr>
                <w:b/>
                <w:sz w:val="22"/>
                <w:szCs w:val="22"/>
                <w:lang w:eastAsia="en-GB"/>
              </w:rPr>
            </w:pPr>
            <w:r w:rsidRPr="0008663A">
              <w:rPr>
                <w:b/>
                <w:sz w:val="22"/>
                <w:szCs w:val="22"/>
                <w:lang w:eastAsia="en-GB"/>
              </w:rPr>
              <w:t>(</w:t>
            </w:r>
            <w:r w:rsidR="00831753">
              <w:rPr>
                <w:b/>
                <w:sz w:val="22"/>
                <w:szCs w:val="22"/>
                <w:lang w:eastAsia="en-GB"/>
              </w:rPr>
              <w:t>522</w:t>
            </w:r>
            <w:r w:rsidRPr="0008663A">
              <w:rPr>
                <w:b/>
                <w:sz w:val="22"/>
                <w:szCs w:val="22"/>
                <w:lang w:eastAsia="en-GB"/>
              </w:rPr>
              <w:t>)</w:t>
            </w:r>
          </w:p>
        </w:tc>
        <w:tc>
          <w:tcPr>
            <w:tcW w:w="1240" w:type="dxa"/>
            <w:shd w:val="clear" w:color="auto" w:fill="auto"/>
            <w:noWrap/>
            <w:vAlign w:val="bottom"/>
          </w:tcPr>
          <w:p w:rsidR="00B16EF8" w:rsidRPr="0008663A" w:rsidRDefault="0008663A" w:rsidP="00831753">
            <w:pPr>
              <w:jc w:val="right"/>
              <w:rPr>
                <w:b/>
                <w:sz w:val="22"/>
                <w:szCs w:val="22"/>
                <w:lang w:eastAsia="en-GB"/>
              </w:rPr>
            </w:pPr>
            <w:r w:rsidRPr="0008663A">
              <w:rPr>
                <w:b/>
                <w:sz w:val="22"/>
                <w:szCs w:val="22"/>
                <w:lang w:eastAsia="en-GB"/>
              </w:rPr>
              <w:t>(</w:t>
            </w:r>
            <w:r w:rsidR="00831753">
              <w:rPr>
                <w:b/>
                <w:sz w:val="22"/>
                <w:szCs w:val="22"/>
                <w:lang w:eastAsia="en-GB"/>
              </w:rPr>
              <w:t>369</w:t>
            </w:r>
            <w:r w:rsidRPr="0008663A">
              <w:rPr>
                <w:b/>
                <w:sz w:val="22"/>
                <w:szCs w:val="22"/>
                <w:lang w:eastAsia="en-GB"/>
              </w:rPr>
              <w:t>)</w:t>
            </w:r>
          </w:p>
        </w:tc>
        <w:tc>
          <w:tcPr>
            <w:tcW w:w="1240" w:type="dxa"/>
            <w:shd w:val="clear" w:color="auto" w:fill="auto"/>
            <w:noWrap/>
            <w:vAlign w:val="bottom"/>
          </w:tcPr>
          <w:p w:rsidR="00B16EF8" w:rsidRPr="0008663A" w:rsidRDefault="00831753" w:rsidP="00831753">
            <w:pPr>
              <w:jc w:val="right"/>
              <w:rPr>
                <w:b/>
                <w:sz w:val="22"/>
                <w:szCs w:val="22"/>
                <w:lang w:eastAsia="en-GB"/>
              </w:rPr>
            </w:pPr>
            <w:r>
              <w:rPr>
                <w:b/>
                <w:sz w:val="22"/>
                <w:szCs w:val="22"/>
                <w:lang w:eastAsia="en-GB"/>
              </w:rPr>
              <w:t>(2,760)</w:t>
            </w:r>
          </w:p>
        </w:tc>
      </w:tr>
      <w:tr w:rsidR="00831753" w:rsidRPr="0008663A" w:rsidTr="005F15AB">
        <w:trPr>
          <w:trHeight w:val="288"/>
        </w:trPr>
        <w:tc>
          <w:tcPr>
            <w:tcW w:w="4420" w:type="dxa"/>
            <w:shd w:val="clear" w:color="auto" w:fill="auto"/>
            <w:noWrap/>
            <w:vAlign w:val="bottom"/>
          </w:tcPr>
          <w:p w:rsidR="00B16EF8" w:rsidRPr="0008663A" w:rsidRDefault="00B16EF8" w:rsidP="005F15AB">
            <w:pPr>
              <w:rPr>
                <w:rFonts w:cs="Arial"/>
                <w:color w:val="000000"/>
                <w:sz w:val="22"/>
                <w:szCs w:val="22"/>
                <w:lang w:eastAsia="en-GB"/>
              </w:rPr>
            </w:pPr>
          </w:p>
        </w:tc>
        <w:tc>
          <w:tcPr>
            <w:tcW w:w="1124" w:type="dxa"/>
            <w:shd w:val="clear" w:color="auto" w:fill="auto"/>
            <w:noWrap/>
            <w:vAlign w:val="bottom"/>
          </w:tcPr>
          <w:p w:rsidR="00B16EF8" w:rsidRPr="0008663A" w:rsidRDefault="00B16EF8" w:rsidP="005F15AB">
            <w:pPr>
              <w:jc w:val="right"/>
              <w:rPr>
                <w:sz w:val="22"/>
                <w:szCs w:val="22"/>
                <w:lang w:eastAsia="en-GB"/>
              </w:rPr>
            </w:pPr>
          </w:p>
        </w:tc>
        <w:tc>
          <w:tcPr>
            <w:tcW w:w="1356" w:type="dxa"/>
            <w:shd w:val="clear" w:color="auto" w:fill="auto"/>
            <w:noWrap/>
            <w:vAlign w:val="bottom"/>
          </w:tcPr>
          <w:p w:rsidR="00B16EF8" w:rsidRPr="0008663A" w:rsidRDefault="00B16EF8" w:rsidP="005F15AB">
            <w:pPr>
              <w:jc w:val="right"/>
              <w:rPr>
                <w:sz w:val="22"/>
                <w:szCs w:val="22"/>
                <w:lang w:eastAsia="en-GB"/>
              </w:rPr>
            </w:pPr>
          </w:p>
        </w:tc>
        <w:tc>
          <w:tcPr>
            <w:tcW w:w="1240" w:type="dxa"/>
            <w:shd w:val="clear" w:color="auto" w:fill="auto"/>
            <w:noWrap/>
            <w:vAlign w:val="bottom"/>
          </w:tcPr>
          <w:p w:rsidR="00B16EF8" w:rsidRPr="0008663A" w:rsidRDefault="00B16EF8" w:rsidP="005F15AB">
            <w:pPr>
              <w:jc w:val="right"/>
              <w:rPr>
                <w:sz w:val="22"/>
                <w:szCs w:val="22"/>
                <w:lang w:eastAsia="en-GB"/>
              </w:rPr>
            </w:pPr>
          </w:p>
        </w:tc>
        <w:tc>
          <w:tcPr>
            <w:tcW w:w="1240" w:type="dxa"/>
            <w:shd w:val="clear" w:color="auto" w:fill="auto"/>
            <w:noWrap/>
            <w:vAlign w:val="bottom"/>
          </w:tcPr>
          <w:p w:rsidR="00B16EF8" w:rsidRPr="0008663A" w:rsidRDefault="00B16EF8" w:rsidP="005F15AB">
            <w:pPr>
              <w:jc w:val="right"/>
              <w:rPr>
                <w:sz w:val="22"/>
                <w:szCs w:val="22"/>
                <w:lang w:eastAsia="en-GB"/>
              </w:rPr>
            </w:pPr>
          </w:p>
        </w:tc>
      </w:tr>
      <w:tr w:rsidR="00831753" w:rsidRPr="0008663A" w:rsidTr="005F15AB">
        <w:trPr>
          <w:trHeight w:val="288"/>
        </w:trPr>
        <w:tc>
          <w:tcPr>
            <w:tcW w:w="4420" w:type="dxa"/>
            <w:shd w:val="clear" w:color="auto" w:fill="auto"/>
            <w:noWrap/>
            <w:vAlign w:val="bottom"/>
          </w:tcPr>
          <w:p w:rsidR="00B16EF8" w:rsidRPr="0008663A" w:rsidRDefault="00B16EF8" w:rsidP="005F15AB">
            <w:pPr>
              <w:rPr>
                <w:rFonts w:cs="Arial"/>
                <w:color w:val="000000"/>
                <w:sz w:val="22"/>
                <w:szCs w:val="22"/>
                <w:lang w:eastAsia="en-GB"/>
              </w:rPr>
            </w:pPr>
            <w:r w:rsidRPr="0008663A">
              <w:rPr>
                <w:rFonts w:cs="Arial"/>
                <w:color w:val="000000"/>
                <w:sz w:val="22"/>
                <w:szCs w:val="22"/>
                <w:lang w:eastAsia="en-GB"/>
              </w:rPr>
              <w:t>(Surplus)/Deficit b/</w:t>
            </w:r>
            <w:proofErr w:type="spellStart"/>
            <w:r w:rsidRPr="0008663A">
              <w:rPr>
                <w:rFonts w:cs="Arial"/>
                <w:color w:val="000000"/>
                <w:sz w:val="22"/>
                <w:szCs w:val="22"/>
                <w:lang w:eastAsia="en-GB"/>
              </w:rPr>
              <w:t>fwd</w:t>
            </w:r>
            <w:proofErr w:type="spellEnd"/>
          </w:p>
        </w:tc>
        <w:tc>
          <w:tcPr>
            <w:tcW w:w="1124" w:type="dxa"/>
            <w:shd w:val="clear" w:color="auto" w:fill="auto"/>
            <w:noWrap/>
            <w:vAlign w:val="bottom"/>
          </w:tcPr>
          <w:p w:rsidR="00B16EF8" w:rsidRPr="0008663A" w:rsidRDefault="0008663A" w:rsidP="007D1332">
            <w:pPr>
              <w:jc w:val="right"/>
              <w:rPr>
                <w:sz w:val="22"/>
                <w:szCs w:val="22"/>
                <w:lang w:eastAsia="en-GB"/>
              </w:rPr>
            </w:pPr>
            <w:r w:rsidRPr="0008663A">
              <w:rPr>
                <w:sz w:val="22"/>
                <w:szCs w:val="22"/>
                <w:lang w:eastAsia="en-GB"/>
              </w:rPr>
              <w:t>(</w:t>
            </w:r>
            <w:r w:rsidR="007D1332">
              <w:rPr>
                <w:sz w:val="22"/>
                <w:szCs w:val="22"/>
                <w:lang w:eastAsia="en-GB"/>
              </w:rPr>
              <w:t>5</w:t>
            </w:r>
            <w:r w:rsidRPr="0008663A">
              <w:rPr>
                <w:sz w:val="22"/>
                <w:szCs w:val="22"/>
                <w:lang w:eastAsia="en-GB"/>
              </w:rPr>
              <w:t>,</w:t>
            </w:r>
            <w:r w:rsidR="007D1332">
              <w:rPr>
                <w:sz w:val="22"/>
                <w:szCs w:val="22"/>
                <w:lang w:eastAsia="en-GB"/>
              </w:rPr>
              <w:t>576</w:t>
            </w:r>
            <w:r w:rsidRPr="0008663A">
              <w:rPr>
                <w:sz w:val="22"/>
                <w:szCs w:val="22"/>
                <w:lang w:eastAsia="en-GB"/>
              </w:rPr>
              <w:t>)</w:t>
            </w:r>
          </w:p>
        </w:tc>
        <w:tc>
          <w:tcPr>
            <w:tcW w:w="1356" w:type="dxa"/>
            <w:shd w:val="clear" w:color="auto" w:fill="auto"/>
            <w:noWrap/>
            <w:vAlign w:val="bottom"/>
          </w:tcPr>
          <w:p w:rsidR="00B16EF8" w:rsidRPr="0008663A" w:rsidRDefault="0008663A" w:rsidP="007D1332">
            <w:pPr>
              <w:jc w:val="right"/>
              <w:rPr>
                <w:sz w:val="22"/>
                <w:szCs w:val="22"/>
                <w:lang w:eastAsia="en-GB"/>
              </w:rPr>
            </w:pPr>
            <w:r w:rsidRPr="0008663A">
              <w:rPr>
                <w:sz w:val="22"/>
                <w:szCs w:val="22"/>
                <w:lang w:eastAsia="en-GB"/>
              </w:rPr>
              <w:t>(</w:t>
            </w:r>
            <w:r w:rsidR="007D1332">
              <w:rPr>
                <w:sz w:val="22"/>
                <w:szCs w:val="22"/>
                <w:lang w:eastAsia="en-GB"/>
              </w:rPr>
              <w:t>5,965</w:t>
            </w:r>
            <w:r w:rsidRPr="0008663A">
              <w:rPr>
                <w:sz w:val="22"/>
                <w:szCs w:val="22"/>
                <w:lang w:eastAsia="en-GB"/>
              </w:rPr>
              <w:t>)</w:t>
            </w:r>
          </w:p>
        </w:tc>
        <w:tc>
          <w:tcPr>
            <w:tcW w:w="1240" w:type="dxa"/>
            <w:shd w:val="clear" w:color="auto" w:fill="auto"/>
            <w:noWrap/>
            <w:vAlign w:val="bottom"/>
          </w:tcPr>
          <w:p w:rsidR="00B16EF8" w:rsidRPr="0008663A" w:rsidRDefault="0008663A" w:rsidP="007D1332">
            <w:pPr>
              <w:jc w:val="right"/>
              <w:rPr>
                <w:sz w:val="22"/>
                <w:szCs w:val="22"/>
                <w:lang w:eastAsia="en-GB"/>
              </w:rPr>
            </w:pPr>
            <w:r w:rsidRPr="0008663A">
              <w:rPr>
                <w:sz w:val="22"/>
                <w:szCs w:val="22"/>
                <w:lang w:eastAsia="en-GB"/>
              </w:rPr>
              <w:t>(</w:t>
            </w:r>
            <w:r w:rsidR="007D1332">
              <w:rPr>
                <w:sz w:val="22"/>
                <w:szCs w:val="22"/>
                <w:lang w:eastAsia="en-GB"/>
              </w:rPr>
              <w:t>6,487</w:t>
            </w:r>
            <w:r w:rsidRPr="0008663A">
              <w:rPr>
                <w:sz w:val="22"/>
                <w:szCs w:val="22"/>
                <w:lang w:eastAsia="en-GB"/>
              </w:rPr>
              <w:t>)</w:t>
            </w:r>
          </w:p>
        </w:tc>
        <w:tc>
          <w:tcPr>
            <w:tcW w:w="1240" w:type="dxa"/>
            <w:shd w:val="clear" w:color="auto" w:fill="auto"/>
            <w:noWrap/>
            <w:vAlign w:val="bottom"/>
          </w:tcPr>
          <w:p w:rsidR="00B16EF8" w:rsidRPr="0008663A" w:rsidRDefault="0008663A" w:rsidP="007D1332">
            <w:pPr>
              <w:jc w:val="right"/>
              <w:rPr>
                <w:sz w:val="22"/>
                <w:szCs w:val="22"/>
                <w:lang w:eastAsia="en-GB"/>
              </w:rPr>
            </w:pPr>
            <w:r w:rsidRPr="0008663A">
              <w:rPr>
                <w:sz w:val="22"/>
                <w:szCs w:val="22"/>
                <w:lang w:eastAsia="en-GB"/>
              </w:rPr>
              <w:t>(</w:t>
            </w:r>
            <w:r w:rsidR="007D1332">
              <w:rPr>
                <w:sz w:val="22"/>
                <w:szCs w:val="22"/>
                <w:lang w:eastAsia="en-GB"/>
              </w:rPr>
              <w:t>6,855</w:t>
            </w:r>
            <w:r w:rsidRPr="0008663A">
              <w:rPr>
                <w:sz w:val="22"/>
                <w:szCs w:val="22"/>
                <w:lang w:eastAsia="en-GB"/>
              </w:rPr>
              <w:t>)</w:t>
            </w:r>
          </w:p>
        </w:tc>
      </w:tr>
      <w:tr w:rsidR="00831753" w:rsidRPr="0008663A" w:rsidTr="005F15AB">
        <w:trPr>
          <w:trHeight w:val="288"/>
        </w:trPr>
        <w:tc>
          <w:tcPr>
            <w:tcW w:w="4420" w:type="dxa"/>
            <w:shd w:val="clear" w:color="auto" w:fill="auto"/>
            <w:noWrap/>
            <w:vAlign w:val="bottom"/>
          </w:tcPr>
          <w:p w:rsidR="00B16EF8" w:rsidRPr="0008663A" w:rsidRDefault="00B16EF8" w:rsidP="005F15AB">
            <w:pPr>
              <w:rPr>
                <w:rFonts w:cs="Arial"/>
                <w:color w:val="000000"/>
                <w:sz w:val="22"/>
                <w:szCs w:val="22"/>
                <w:lang w:eastAsia="en-GB"/>
              </w:rPr>
            </w:pPr>
          </w:p>
        </w:tc>
        <w:tc>
          <w:tcPr>
            <w:tcW w:w="1124" w:type="dxa"/>
            <w:shd w:val="clear" w:color="auto" w:fill="auto"/>
            <w:noWrap/>
            <w:vAlign w:val="bottom"/>
          </w:tcPr>
          <w:p w:rsidR="00B16EF8" w:rsidRPr="0008663A" w:rsidRDefault="00B16EF8" w:rsidP="005F15AB">
            <w:pPr>
              <w:jc w:val="right"/>
              <w:rPr>
                <w:sz w:val="22"/>
                <w:szCs w:val="22"/>
                <w:lang w:eastAsia="en-GB"/>
              </w:rPr>
            </w:pPr>
          </w:p>
        </w:tc>
        <w:tc>
          <w:tcPr>
            <w:tcW w:w="1356" w:type="dxa"/>
            <w:shd w:val="clear" w:color="auto" w:fill="auto"/>
            <w:noWrap/>
            <w:vAlign w:val="bottom"/>
          </w:tcPr>
          <w:p w:rsidR="00B16EF8" w:rsidRPr="0008663A" w:rsidRDefault="00B16EF8" w:rsidP="005F15AB">
            <w:pPr>
              <w:jc w:val="right"/>
              <w:rPr>
                <w:sz w:val="22"/>
                <w:szCs w:val="22"/>
                <w:lang w:eastAsia="en-GB"/>
              </w:rPr>
            </w:pPr>
          </w:p>
        </w:tc>
        <w:tc>
          <w:tcPr>
            <w:tcW w:w="1240" w:type="dxa"/>
            <w:shd w:val="clear" w:color="auto" w:fill="auto"/>
            <w:noWrap/>
            <w:vAlign w:val="bottom"/>
          </w:tcPr>
          <w:p w:rsidR="00B16EF8" w:rsidRPr="0008663A" w:rsidRDefault="00B16EF8" w:rsidP="005F15AB">
            <w:pPr>
              <w:jc w:val="right"/>
              <w:rPr>
                <w:sz w:val="22"/>
                <w:szCs w:val="22"/>
                <w:lang w:eastAsia="en-GB"/>
              </w:rPr>
            </w:pPr>
          </w:p>
        </w:tc>
        <w:tc>
          <w:tcPr>
            <w:tcW w:w="1240" w:type="dxa"/>
            <w:shd w:val="clear" w:color="auto" w:fill="auto"/>
            <w:noWrap/>
            <w:vAlign w:val="bottom"/>
          </w:tcPr>
          <w:p w:rsidR="00B16EF8" w:rsidRPr="0008663A" w:rsidRDefault="00B16EF8" w:rsidP="005F15AB">
            <w:pPr>
              <w:jc w:val="right"/>
              <w:rPr>
                <w:sz w:val="22"/>
                <w:szCs w:val="22"/>
                <w:lang w:eastAsia="en-GB"/>
              </w:rPr>
            </w:pPr>
          </w:p>
        </w:tc>
      </w:tr>
      <w:tr w:rsidR="00831753" w:rsidRPr="0008663A" w:rsidTr="005F15AB">
        <w:trPr>
          <w:trHeight w:val="288"/>
        </w:trPr>
        <w:tc>
          <w:tcPr>
            <w:tcW w:w="4420" w:type="dxa"/>
            <w:shd w:val="clear" w:color="auto" w:fill="auto"/>
            <w:noWrap/>
            <w:vAlign w:val="bottom"/>
          </w:tcPr>
          <w:p w:rsidR="00B16EF8" w:rsidRPr="0008663A" w:rsidRDefault="00B16EF8" w:rsidP="005F15AB">
            <w:pPr>
              <w:rPr>
                <w:rFonts w:cs="Arial"/>
                <w:b/>
                <w:color w:val="000000"/>
                <w:sz w:val="22"/>
                <w:szCs w:val="22"/>
                <w:lang w:eastAsia="en-GB"/>
              </w:rPr>
            </w:pPr>
            <w:r w:rsidRPr="0008663A">
              <w:rPr>
                <w:rFonts w:cs="Arial"/>
                <w:b/>
                <w:color w:val="000000"/>
                <w:sz w:val="22"/>
                <w:szCs w:val="22"/>
                <w:lang w:eastAsia="en-GB"/>
              </w:rPr>
              <w:t>(Surplus)/Deficit c/</w:t>
            </w:r>
            <w:proofErr w:type="spellStart"/>
            <w:r w:rsidRPr="0008663A">
              <w:rPr>
                <w:rFonts w:cs="Arial"/>
                <w:b/>
                <w:color w:val="000000"/>
                <w:sz w:val="22"/>
                <w:szCs w:val="22"/>
                <w:lang w:eastAsia="en-GB"/>
              </w:rPr>
              <w:t>fwd</w:t>
            </w:r>
            <w:proofErr w:type="spellEnd"/>
          </w:p>
        </w:tc>
        <w:tc>
          <w:tcPr>
            <w:tcW w:w="1124" w:type="dxa"/>
            <w:shd w:val="clear" w:color="auto" w:fill="auto"/>
            <w:noWrap/>
            <w:vAlign w:val="bottom"/>
          </w:tcPr>
          <w:p w:rsidR="00B16EF8" w:rsidRPr="0008663A" w:rsidRDefault="0008663A" w:rsidP="007D1332">
            <w:pPr>
              <w:jc w:val="right"/>
              <w:rPr>
                <w:b/>
                <w:sz w:val="22"/>
                <w:szCs w:val="22"/>
                <w:lang w:eastAsia="en-GB"/>
              </w:rPr>
            </w:pPr>
            <w:r w:rsidRPr="0008663A">
              <w:rPr>
                <w:b/>
                <w:sz w:val="22"/>
                <w:szCs w:val="22"/>
                <w:lang w:eastAsia="en-GB"/>
              </w:rPr>
              <w:t>(</w:t>
            </w:r>
            <w:r w:rsidR="007D1332">
              <w:rPr>
                <w:b/>
                <w:sz w:val="22"/>
                <w:szCs w:val="22"/>
                <w:lang w:eastAsia="en-GB"/>
              </w:rPr>
              <w:t>5,965</w:t>
            </w:r>
            <w:r w:rsidRPr="0008663A">
              <w:rPr>
                <w:b/>
                <w:sz w:val="22"/>
                <w:szCs w:val="22"/>
                <w:lang w:eastAsia="en-GB"/>
              </w:rPr>
              <w:t>)</w:t>
            </w:r>
          </w:p>
        </w:tc>
        <w:tc>
          <w:tcPr>
            <w:tcW w:w="1356" w:type="dxa"/>
            <w:shd w:val="clear" w:color="auto" w:fill="auto"/>
            <w:noWrap/>
            <w:vAlign w:val="bottom"/>
          </w:tcPr>
          <w:p w:rsidR="00B16EF8" w:rsidRPr="0008663A" w:rsidRDefault="0008663A" w:rsidP="007D1332">
            <w:pPr>
              <w:jc w:val="right"/>
              <w:rPr>
                <w:b/>
                <w:sz w:val="22"/>
                <w:szCs w:val="22"/>
                <w:lang w:eastAsia="en-GB"/>
              </w:rPr>
            </w:pPr>
            <w:r w:rsidRPr="0008663A">
              <w:rPr>
                <w:b/>
                <w:sz w:val="22"/>
                <w:szCs w:val="22"/>
                <w:lang w:eastAsia="en-GB"/>
              </w:rPr>
              <w:t>(</w:t>
            </w:r>
            <w:r w:rsidR="007D1332">
              <w:rPr>
                <w:b/>
                <w:sz w:val="22"/>
                <w:szCs w:val="22"/>
                <w:lang w:eastAsia="en-GB"/>
              </w:rPr>
              <w:t>6,487)</w:t>
            </w:r>
          </w:p>
        </w:tc>
        <w:tc>
          <w:tcPr>
            <w:tcW w:w="1240" w:type="dxa"/>
            <w:shd w:val="clear" w:color="auto" w:fill="auto"/>
            <w:noWrap/>
            <w:vAlign w:val="bottom"/>
          </w:tcPr>
          <w:p w:rsidR="00B16EF8" w:rsidRPr="0008663A" w:rsidRDefault="0008663A" w:rsidP="007D1332">
            <w:pPr>
              <w:jc w:val="right"/>
              <w:rPr>
                <w:b/>
                <w:sz w:val="22"/>
                <w:szCs w:val="22"/>
                <w:lang w:eastAsia="en-GB"/>
              </w:rPr>
            </w:pPr>
            <w:r w:rsidRPr="0008663A">
              <w:rPr>
                <w:b/>
                <w:sz w:val="22"/>
                <w:szCs w:val="22"/>
                <w:lang w:eastAsia="en-GB"/>
              </w:rPr>
              <w:t>(</w:t>
            </w:r>
            <w:r w:rsidR="007D1332">
              <w:rPr>
                <w:b/>
                <w:sz w:val="22"/>
                <w:szCs w:val="22"/>
                <w:lang w:eastAsia="en-GB"/>
              </w:rPr>
              <w:t>6,855</w:t>
            </w:r>
            <w:r w:rsidRPr="0008663A">
              <w:rPr>
                <w:b/>
                <w:sz w:val="22"/>
                <w:szCs w:val="22"/>
                <w:lang w:eastAsia="en-GB"/>
              </w:rPr>
              <w:t>)</w:t>
            </w:r>
          </w:p>
        </w:tc>
        <w:tc>
          <w:tcPr>
            <w:tcW w:w="1240" w:type="dxa"/>
            <w:shd w:val="clear" w:color="auto" w:fill="auto"/>
            <w:noWrap/>
            <w:vAlign w:val="bottom"/>
          </w:tcPr>
          <w:p w:rsidR="00B16EF8" w:rsidRPr="0008663A" w:rsidRDefault="0008663A" w:rsidP="007D1332">
            <w:pPr>
              <w:jc w:val="right"/>
              <w:rPr>
                <w:b/>
                <w:sz w:val="22"/>
                <w:szCs w:val="22"/>
                <w:lang w:eastAsia="en-GB"/>
              </w:rPr>
            </w:pPr>
            <w:r w:rsidRPr="0008663A">
              <w:rPr>
                <w:b/>
                <w:sz w:val="22"/>
                <w:szCs w:val="22"/>
                <w:lang w:eastAsia="en-GB"/>
              </w:rPr>
              <w:t>(</w:t>
            </w:r>
            <w:r w:rsidR="007D1332">
              <w:rPr>
                <w:b/>
                <w:sz w:val="22"/>
                <w:szCs w:val="22"/>
                <w:lang w:eastAsia="en-GB"/>
              </w:rPr>
              <w:t>9,615</w:t>
            </w:r>
            <w:r w:rsidRPr="0008663A">
              <w:rPr>
                <w:b/>
                <w:sz w:val="22"/>
                <w:szCs w:val="22"/>
                <w:lang w:eastAsia="en-GB"/>
              </w:rPr>
              <w:t>)</w:t>
            </w:r>
          </w:p>
        </w:tc>
      </w:tr>
      <w:tr w:rsidR="00831753" w:rsidRPr="0008663A" w:rsidTr="005F15AB">
        <w:trPr>
          <w:trHeight w:val="288"/>
        </w:trPr>
        <w:tc>
          <w:tcPr>
            <w:tcW w:w="4420" w:type="dxa"/>
            <w:shd w:val="clear" w:color="auto" w:fill="auto"/>
            <w:noWrap/>
            <w:vAlign w:val="bottom"/>
          </w:tcPr>
          <w:p w:rsidR="00B16EF8" w:rsidRPr="0008663A" w:rsidRDefault="00B16EF8" w:rsidP="005F15AB">
            <w:pPr>
              <w:rPr>
                <w:rFonts w:cs="Arial"/>
                <w:color w:val="000000"/>
                <w:sz w:val="22"/>
                <w:szCs w:val="22"/>
                <w:lang w:eastAsia="en-GB"/>
              </w:rPr>
            </w:pPr>
          </w:p>
        </w:tc>
        <w:tc>
          <w:tcPr>
            <w:tcW w:w="1124" w:type="dxa"/>
            <w:shd w:val="clear" w:color="auto" w:fill="auto"/>
            <w:noWrap/>
            <w:vAlign w:val="bottom"/>
          </w:tcPr>
          <w:p w:rsidR="00B16EF8" w:rsidRPr="0008663A" w:rsidRDefault="00B16EF8" w:rsidP="005F15AB">
            <w:pPr>
              <w:jc w:val="right"/>
              <w:rPr>
                <w:sz w:val="22"/>
                <w:szCs w:val="22"/>
                <w:lang w:eastAsia="en-GB"/>
              </w:rPr>
            </w:pPr>
          </w:p>
        </w:tc>
        <w:tc>
          <w:tcPr>
            <w:tcW w:w="1356" w:type="dxa"/>
            <w:shd w:val="clear" w:color="auto" w:fill="auto"/>
            <w:noWrap/>
            <w:vAlign w:val="bottom"/>
          </w:tcPr>
          <w:p w:rsidR="00B16EF8" w:rsidRPr="0008663A" w:rsidRDefault="00B16EF8" w:rsidP="005F15AB">
            <w:pPr>
              <w:jc w:val="right"/>
              <w:rPr>
                <w:sz w:val="22"/>
                <w:szCs w:val="22"/>
                <w:lang w:eastAsia="en-GB"/>
              </w:rPr>
            </w:pPr>
          </w:p>
        </w:tc>
        <w:tc>
          <w:tcPr>
            <w:tcW w:w="1240" w:type="dxa"/>
            <w:shd w:val="clear" w:color="auto" w:fill="auto"/>
            <w:noWrap/>
            <w:vAlign w:val="bottom"/>
          </w:tcPr>
          <w:p w:rsidR="00B16EF8" w:rsidRPr="0008663A" w:rsidRDefault="00B16EF8" w:rsidP="005F15AB">
            <w:pPr>
              <w:jc w:val="right"/>
              <w:rPr>
                <w:sz w:val="22"/>
                <w:szCs w:val="22"/>
                <w:lang w:eastAsia="en-GB"/>
              </w:rPr>
            </w:pPr>
          </w:p>
        </w:tc>
        <w:tc>
          <w:tcPr>
            <w:tcW w:w="1240" w:type="dxa"/>
            <w:shd w:val="clear" w:color="auto" w:fill="auto"/>
            <w:noWrap/>
            <w:vAlign w:val="bottom"/>
          </w:tcPr>
          <w:p w:rsidR="00B16EF8" w:rsidRPr="0008663A" w:rsidRDefault="00B16EF8" w:rsidP="005F15AB">
            <w:pPr>
              <w:jc w:val="right"/>
              <w:rPr>
                <w:sz w:val="22"/>
                <w:szCs w:val="22"/>
                <w:lang w:eastAsia="en-GB"/>
              </w:rPr>
            </w:pPr>
          </w:p>
        </w:tc>
      </w:tr>
    </w:tbl>
    <w:p w:rsidR="00301239" w:rsidRPr="0008663A" w:rsidRDefault="00301239" w:rsidP="005A6CB9">
      <w:pPr>
        <w:autoSpaceDE w:val="0"/>
        <w:autoSpaceDN w:val="0"/>
        <w:adjustRightInd w:val="0"/>
        <w:ind w:left="567" w:right="380" w:hanging="567"/>
        <w:jc w:val="both"/>
        <w:rPr>
          <w:rFonts w:cs="Arial"/>
        </w:rPr>
      </w:pPr>
    </w:p>
    <w:p w:rsidR="00714164" w:rsidRDefault="00714164" w:rsidP="002B7914">
      <w:pPr>
        <w:autoSpaceDE w:val="0"/>
        <w:autoSpaceDN w:val="0"/>
        <w:adjustRightInd w:val="0"/>
        <w:ind w:left="567" w:right="380"/>
        <w:jc w:val="both"/>
        <w:rPr>
          <w:rFonts w:cs="Arial"/>
          <w:b/>
          <w:highlight w:val="yellow"/>
        </w:rPr>
      </w:pPr>
    </w:p>
    <w:p w:rsidR="00797178" w:rsidRPr="00000222" w:rsidRDefault="00797178" w:rsidP="002B7914">
      <w:pPr>
        <w:autoSpaceDE w:val="0"/>
        <w:autoSpaceDN w:val="0"/>
        <w:adjustRightInd w:val="0"/>
        <w:ind w:left="567" w:right="380"/>
        <w:jc w:val="both"/>
        <w:rPr>
          <w:rFonts w:cs="Arial"/>
          <w:b/>
          <w:highlight w:val="yellow"/>
        </w:rPr>
      </w:pPr>
    </w:p>
    <w:p w:rsidR="00902E5A" w:rsidRPr="00456F2E" w:rsidRDefault="00902E5A" w:rsidP="00784728">
      <w:pPr>
        <w:autoSpaceDE w:val="0"/>
        <w:autoSpaceDN w:val="0"/>
        <w:adjustRightInd w:val="0"/>
        <w:ind w:right="380"/>
        <w:jc w:val="both"/>
        <w:rPr>
          <w:rFonts w:cs="Arial"/>
          <w:b/>
        </w:rPr>
      </w:pPr>
      <w:r w:rsidRPr="00456F2E">
        <w:rPr>
          <w:rFonts w:cs="Arial"/>
          <w:b/>
        </w:rPr>
        <w:t>Risk Implications</w:t>
      </w:r>
    </w:p>
    <w:p w:rsidR="00902E5A" w:rsidRPr="00456F2E" w:rsidRDefault="00902E5A" w:rsidP="00902E5A">
      <w:pPr>
        <w:autoSpaceDE w:val="0"/>
        <w:autoSpaceDN w:val="0"/>
        <w:adjustRightInd w:val="0"/>
        <w:ind w:left="720" w:right="380"/>
        <w:jc w:val="both"/>
        <w:rPr>
          <w:rFonts w:cs="Arial"/>
          <w:b/>
        </w:rPr>
      </w:pPr>
    </w:p>
    <w:p w:rsidR="00902E5A" w:rsidRPr="00456F2E" w:rsidRDefault="00902E5A" w:rsidP="007E34DD">
      <w:pPr>
        <w:pStyle w:val="ListParagraph"/>
        <w:numPr>
          <w:ilvl w:val="0"/>
          <w:numId w:val="56"/>
        </w:numPr>
        <w:autoSpaceDE w:val="0"/>
        <w:autoSpaceDN w:val="0"/>
        <w:adjustRightInd w:val="0"/>
        <w:ind w:left="780" w:right="380" w:hanging="780"/>
        <w:jc w:val="both"/>
      </w:pPr>
      <w:r w:rsidRPr="00456F2E">
        <w:t xml:space="preserve">The main risks to the balanced position of </w:t>
      </w:r>
      <w:r w:rsidR="00503944" w:rsidRPr="00456F2E">
        <w:t xml:space="preserve">the </w:t>
      </w:r>
      <w:r w:rsidR="00921B4B" w:rsidRPr="00456F2E">
        <w:t xml:space="preserve">HRA </w:t>
      </w:r>
      <w:r w:rsidR="00C35200" w:rsidRPr="00456F2E">
        <w:t>are</w:t>
      </w:r>
      <w:r w:rsidR="009D4B73" w:rsidRPr="00456F2E">
        <w:t xml:space="preserve"> </w:t>
      </w:r>
      <w:r w:rsidR="00AB541D" w:rsidRPr="00456F2E">
        <w:t>summarised below</w:t>
      </w:r>
      <w:r w:rsidR="00496A88" w:rsidRPr="00456F2E">
        <w:t xml:space="preserve"> </w:t>
      </w:r>
      <w:r w:rsidR="002441B3" w:rsidRPr="00456F2E">
        <w:t>and detailed</w:t>
      </w:r>
      <w:r w:rsidR="00921B4B" w:rsidRPr="00456F2E">
        <w:t xml:space="preserve"> in </w:t>
      </w:r>
      <w:r w:rsidRPr="00456F2E">
        <w:t xml:space="preserve">Appendix </w:t>
      </w:r>
      <w:r w:rsidR="00823B6F" w:rsidRPr="00456F2E">
        <w:t>8</w:t>
      </w:r>
      <w:r w:rsidR="00AB541D" w:rsidRPr="00456F2E">
        <w:t>:</w:t>
      </w:r>
    </w:p>
    <w:p w:rsidR="00D06890" w:rsidRPr="00456F2E" w:rsidRDefault="00D06890" w:rsidP="0045662E">
      <w:pPr>
        <w:autoSpaceDE w:val="0"/>
        <w:autoSpaceDN w:val="0"/>
        <w:adjustRightInd w:val="0"/>
        <w:ind w:left="709" w:right="380" w:hanging="709"/>
        <w:jc w:val="both"/>
      </w:pPr>
    </w:p>
    <w:p w:rsidR="00902E5A" w:rsidRDefault="00902E5A" w:rsidP="007E34DD">
      <w:pPr>
        <w:numPr>
          <w:ilvl w:val="3"/>
          <w:numId w:val="27"/>
        </w:numPr>
        <w:tabs>
          <w:tab w:val="clear" w:pos="3600"/>
          <w:tab w:val="left" w:pos="630"/>
          <w:tab w:val="num" w:pos="1843"/>
        </w:tabs>
        <w:autoSpaceDE w:val="0"/>
        <w:autoSpaceDN w:val="0"/>
        <w:adjustRightInd w:val="0"/>
        <w:ind w:left="1701" w:right="380" w:hanging="283"/>
        <w:jc w:val="both"/>
        <w:rPr>
          <w:rFonts w:cs="Arial"/>
        </w:rPr>
      </w:pPr>
      <w:r w:rsidRPr="00456F2E">
        <w:rPr>
          <w:rFonts w:cs="Arial"/>
        </w:rPr>
        <w:t xml:space="preserve">Increased arrears due to </w:t>
      </w:r>
      <w:r w:rsidR="002468A6" w:rsidRPr="00456F2E">
        <w:rPr>
          <w:rFonts w:cs="Arial"/>
        </w:rPr>
        <w:t xml:space="preserve">benefit changes </w:t>
      </w:r>
      <w:r w:rsidR="0045662E">
        <w:rPr>
          <w:rFonts w:cs="Arial"/>
        </w:rPr>
        <w:t xml:space="preserve">arising from the roll out </w:t>
      </w:r>
      <w:r w:rsidR="002441B3" w:rsidRPr="00456F2E">
        <w:rPr>
          <w:rFonts w:cs="Arial"/>
        </w:rPr>
        <w:t>Universal Credit</w:t>
      </w:r>
      <w:r w:rsidR="00603CCF">
        <w:rPr>
          <w:rFonts w:cs="Arial"/>
        </w:rPr>
        <w:t xml:space="preserve"> and/or COVID</w:t>
      </w:r>
      <w:r w:rsidR="00BD2F96">
        <w:rPr>
          <w:rFonts w:cs="Arial"/>
        </w:rPr>
        <w:t xml:space="preserve"> 19</w:t>
      </w:r>
    </w:p>
    <w:p w:rsidR="00603CCF" w:rsidRDefault="00603CCF" w:rsidP="007E34DD">
      <w:pPr>
        <w:numPr>
          <w:ilvl w:val="3"/>
          <w:numId w:val="27"/>
        </w:numPr>
        <w:tabs>
          <w:tab w:val="clear" w:pos="3600"/>
          <w:tab w:val="left" w:pos="630"/>
          <w:tab w:val="num" w:pos="1843"/>
        </w:tabs>
        <w:autoSpaceDE w:val="0"/>
        <w:autoSpaceDN w:val="0"/>
        <w:adjustRightInd w:val="0"/>
        <w:ind w:left="1701" w:right="380" w:hanging="283"/>
        <w:jc w:val="both"/>
        <w:rPr>
          <w:rFonts w:cs="Arial"/>
        </w:rPr>
      </w:pPr>
      <w:r>
        <w:rPr>
          <w:rFonts w:cs="Arial"/>
        </w:rPr>
        <w:t xml:space="preserve">Construction delays in Housing Company and subsequent effect on capital spend on new housing and net rental streams </w:t>
      </w:r>
    </w:p>
    <w:p w:rsidR="00921B4B" w:rsidRPr="00456F2E" w:rsidRDefault="00921B4B" w:rsidP="007E34DD">
      <w:pPr>
        <w:numPr>
          <w:ilvl w:val="3"/>
          <w:numId w:val="27"/>
        </w:numPr>
        <w:tabs>
          <w:tab w:val="clear" w:pos="3600"/>
          <w:tab w:val="left" w:pos="630"/>
          <w:tab w:val="num" w:pos="1701"/>
        </w:tabs>
        <w:autoSpaceDE w:val="0"/>
        <w:autoSpaceDN w:val="0"/>
        <w:adjustRightInd w:val="0"/>
        <w:ind w:right="380" w:hanging="2182"/>
        <w:jc w:val="both"/>
        <w:rPr>
          <w:rFonts w:cs="Arial"/>
        </w:rPr>
      </w:pPr>
      <w:r w:rsidRPr="00456F2E">
        <w:rPr>
          <w:rFonts w:cs="Arial"/>
        </w:rPr>
        <w:t>Variations in estimates causing cash flow problems</w:t>
      </w:r>
    </w:p>
    <w:p w:rsidR="00C35200" w:rsidRPr="00000222" w:rsidRDefault="00C35200" w:rsidP="0045662E">
      <w:pPr>
        <w:autoSpaceDE w:val="0"/>
        <w:autoSpaceDN w:val="0"/>
        <w:adjustRightInd w:val="0"/>
        <w:ind w:left="709" w:right="380" w:hanging="709"/>
        <w:jc w:val="both"/>
        <w:rPr>
          <w:rFonts w:cs="Arial"/>
          <w:highlight w:val="yellow"/>
        </w:rPr>
      </w:pPr>
    </w:p>
    <w:p w:rsidR="00C76527" w:rsidRDefault="00C76527" w:rsidP="0045662E">
      <w:pPr>
        <w:ind w:left="709" w:right="386" w:hanging="709"/>
        <w:jc w:val="both"/>
        <w:rPr>
          <w:b/>
          <w:sz w:val="28"/>
          <w:szCs w:val="28"/>
        </w:rPr>
      </w:pPr>
    </w:p>
    <w:p w:rsidR="00C76527" w:rsidRDefault="00C76527" w:rsidP="0045662E">
      <w:pPr>
        <w:ind w:left="709" w:right="386" w:hanging="709"/>
        <w:jc w:val="both"/>
        <w:rPr>
          <w:b/>
          <w:sz w:val="28"/>
          <w:szCs w:val="28"/>
        </w:rPr>
      </w:pPr>
    </w:p>
    <w:p w:rsidR="002719F1" w:rsidRPr="00C37005" w:rsidRDefault="002719F1" w:rsidP="0045662E">
      <w:pPr>
        <w:ind w:left="709" w:right="386" w:hanging="709"/>
        <w:jc w:val="both"/>
        <w:rPr>
          <w:b/>
          <w:sz w:val="28"/>
          <w:szCs w:val="28"/>
        </w:rPr>
      </w:pPr>
      <w:r w:rsidRPr="00C37005">
        <w:rPr>
          <w:b/>
          <w:sz w:val="28"/>
          <w:szCs w:val="28"/>
        </w:rPr>
        <w:lastRenderedPageBreak/>
        <w:t xml:space="preserve">Section D Capital </w:t>
      </w:r>
      <w:r w:rsidR="002468A6" w:rsidRPr="00C37005">
        <w:rPr>
          <w:b/>
          <w:sz w:val="28"/>
          <w:szCs w:val="28"/>
        </w:rPr>
        <w:t>Programme</w:t>
      </w:r>
    </w:p>
    <w:p w:rsidR="002719F1" w:rsidRPr="00C37005" w:rsidRDefault="002719F1" w:rsidP="0045662E">
      <w:pPr>
        <w:ind w:left="709" w:right="386" w:hanging="709"/>
        <w:jc w:val="both"/>
        <w:rPr>
          <w:b/>
          <w:sz w:val="22"/>
          <w:szCs w:val="22"/>
        </w:rPr>
      </w:pPr>
    </w:p>
    <w:p w:rsidR="001F46D8" w:rsidRPr="00C37005" w:rsidRDefault="002719F1" w:rsidP="0045662E">
      <w:pPr>
        <w:tabs>
          <w:tab w:val="left" w:pos="540"/>
        </w:tabs>
        <w:spacing w:before="120"/>
        <w:ind w:left="709" w:right="386" w:hanging="709"/>
        <w:rPr>
          <w:b/>
        </w:rPr>
      </w:pPr>
      <w:r w:rsidRPr="00C37005">
        <w:rPr>
          <w:b/>
        </w:rPr>
        <w:t>General Fund Capital Programme</w:t>
      </w:r>
    </w:p>
    <w:p w:rsidR="00DA542F" w:rsidRPr="00811E2D" w:rsidRDefault="00DA542F" w:rsidP="0045662E">
      <w:pPr>
        <w:tabs>
          <w:tab w:val="left" w:pos="540"/>
        </w:tabs>
        <w:spacing w:before="120"/>
        <w:ind w:left="709" w:right="386" w:hanging="709"/>
        <w:rPr>
          <w:b/>
        </w:rPr>
      </w:pPr>
    </w:p>
    <w:p w:rsidR="00070723" w:rsidRPr="00811E2D" w:rsidRDefault="00764370" w:rsidP="007E34DD">
      <w:pPr>
        <w:pStyle w:val="Default"/>
        <w:numPr>
          <w:ilvl w:val="0"/>
          <w:numId w:val="56"/>
        </w:numPr>
        <w:tabs>
          <w:tab w:val="left" w:pos="709"/>
        </w:tabs>
        <w:ind w:left="780" w:right="386" w:hanging="780"/>
      </w:pPr>
      <w:r w:rsidRPr="00811E2D">
        <w:t>In recent years the Council</w:t>
      </w:r>
      <w:r w:rsidR="00704D06" w:rsidRPr="00811E2D">
        <w:t>’</w:t>
      </w:r>
      <w:r w:rsidR="00BD2F96">
        <w:t xml:space="preserve">s Capital </w:t>
      </w:r>
      <w:proofErr w:type="spellStart"/>
      <w:r w:rsidR="00BD2F96">
        <w:t>P</w:t>
      </w:r>
      <w:r w:rsidRPr="00811E2D">
        <w:t>rogramme</w:t>
      </w:r>
      <w:proofErr w:type="spellEnd"/>
      <w:r w:rsidRPr="00811E2D">
        <w:t xml:space="preserve"> has been subject to additional internal scrutiny to </w:t>
      </w:r>
      <w:r w:rsidR="00AB6B18" w:rsidRPr="00811E2D">
        <w:t xml:space="preserve">increase the robustness of the estimates for schemes that have been included.  </w:t>
      </w:r>
      <w:r w:rsidR="00070723" w:rsidRPr="00811E2D">
        <w:t>Whilst there are a number of schemes in the pipeline robust business cases have yet to be prepared and consequently these have not yet been included in the capital budget. These will be brought forward for budget approval in year once the business case has been sign</w:t>
      </w:r>
      <w:r w:rsidR="007E0B2C" w:rsidRPr="00811E2D">
        <w:t xml:space="preserve">ed off by the </w:t>
      </w:r>
      <w:r w:rsidR="00BD3441">
        <w:t xml:space="preserve">officer </w:t>
      </w:r>
      <w:r w:rsidR="007E0B2C" w:rsidRPr="00811E2D">
        <w:t>Development Board however as an indication these include :</w:t>
      </w:r>
    </w:p>
    <w:p w:rsidR="007E0B2C" w:rsidRPr="0027233E" w:rsidRDefault="007E0B2C" w:rsidP="0045662E">
      <w:pPr>
        <w:pStyle w:val="Default"/>
        <w:tabs>
          <w:tab w:val="left" w:pos="709"/>
        </w:tabs>
        <w:ind w:left="709" w:right="386" w:hanging="709"/>
      </w:pPr>
    </w:p>
    <w:p w:rsidR="007E0B2C" w:rsidRPr="0027233E" w:rsidRDefault="007E0B2C" w:rsidP="003F3E9A">
      <w:pPr>
        <w:pStyle w:val="Default"/>
        <w:numPr>
          <w:ilvl w:val="1"/>
          <w:numId w:val="3"/>
        </w:numPr>
        <w:tabs>
          <w:tab w:val="left" w:pos="709"/>
        </w:tabs>
        <w:ind w:right="386"/>
      </w:pPr>
      <w:r w:rsidRPr="0027233E">
        <w:t xml:space="preserve">Work to St Aldates Chamber to facilitate the </w:t>
      </w:r>
      <w:r w:rsidR="00811E2D">
        <w:t xml:space="preserve">external </w:t>
      </w:r>
      <w:r w:rsidRPr="0027233E">
        <w:t xml:space="preserve">letting of </w:t>
      </w:r>
      <w:r w:rsidR="00811E2D">
        <w:t xml:space="preserve">at least </w:t>
      </w:r>
      <w:r w:rsidRPr="0027233E">
        <w:t>floors - £600k</w:t>
      </w:r>
    </w:p>
    <w:p w:rsidR="007E0B2C" w:rsidRPr="0027233E" w:rsidRDefault="007E0B2C" w:rsidP="003F3E9A">
      <w:pPr>
        <w:pStyle w:val="Default"/>
        <w:numPr>
          <w:ilvl w:val="1"/>
          <w:numId w:val="3"/>
        </w:numPr>
        <w:tabs>
          <w:tab w:val="left" w:pos="709"/>
        </w:tabs>
        <w:ind w:right="386"/>
      </w:pPr>
      <w:r w:rsidRPr="0027233E">
        <w:t xml:space="preserve">Planned maintenance to existing buildings including an estimated £1.8 million per </w:t>
      </w:r>
      <w:r w:rsidR="001156ED">
        <w:t>year over the period of the MTFS</w:t>
      </w:r>
      <w:r w:rsidRPr="0027233E">
        <w:t xml:space="preserve"> in respect of works arising from stock condition surveys on all Council and commercial buildings £6.4</w:t>
      </w:r>
      <w:r w:rsidR="00BD3441">
        <w:t xml:space="preserve"> </w:t>
      </w:r>
      <w:r w:rsidRPr="0027233E">
        <w:t>m</w:t>
      </w:r>
      <w:r w:rsidR="00BD3441">
        <w:t>illion</w:t>
      </w:r>
    </w:p>
    <w:p w:rsidR="007E0B2C" w:rsidRPr="0027233E" w:rsidRDefault="007E0B2C" w:rsidP="003F3E9A">
      <w:pPr>
        <w:pStyle w:val="Default"/>
        <w:numPr>
          <w:ilvl w:val="1"/>
          <w:numId w:val="3"/>
        </w:numPr>
        <w:tabs>
          <w:tab w:val="left" w:pos="709"/>
        </w:tabs>
        <w:ind w:right="386"/>
      </w:pPr>
      <w:r w:rsidRPr="0027233E">
        <w:t>ICT - £1</w:t>
      </w:r>
      <w:r w:rsidR="0027233E" w:rsidRPr="0027233E">
        <w:t xml:space="preserve">.5 </w:t>
      </w:r>
      <w:r w:rsidRPr="0027233E">
        <w:t xml:space="preserve">million </w:t>
      </w:r>
    </w:p>
    <w:p w:rsidR="007E0B2C" w:rsidRPr="0027233E" w:rsidRDefault="007E0B2C" w:rsidP="003F3E9A">
      <w:pPr>
        <w:pStyle w:val="Default"/>
        <w:numPr>
          <w:ilvl w:val="1"/>
          <w:numId w:val="3"/>
        </w:numPr>
        <w:tabs>
          <w:tab w:val="left" w:pos="709"/>
        </w:tabs>
        <w:ind w:right="386"/>
      </w:pPr>
      <w:r w:rsidRPr="0027233E">
        <w:t xml:space="preserve">Salix related works to increase energy efficiency and reduce carbon </w:t>
      </w:r>
      <w:r w:rsidR="000833D1" w:rsidRPr="0027233E">
        <w:t>emissions</w:t>
      </w:r>
      <w:r w:rsidRPr="0027233E">
        <w:t xml:space="preserve"> - £300k</w:t>
      </w:r>
    </w:p>
    <w:p w:rsidR="007E0B2C" w:rsidRPr="0027233E" w:rsidRDefault="007E0B2C" w:rsidP="0045662E">
      <w:pPr>
        <w:pStyle w:val="Default"/>
        <w:tabs>
          <w:tab w:val="left" w:pos="709"/>
        </w:tabs>
        <w:ind w:left="709" w:right="386" w:hanging="709"/>
      </w:pPr>
    </w:p>
    <w:p w:rsidR="007E0B2C" w:rsidRPr="0065280F" w:rsidRDefault="007E34DD" w:rsidP="0045662E">
      <w:pPr>
        <w:pStyle w:val="Default"/>
        <w:tabs>
          <w:tab w:val="left" w:pos="709"/>
        </w:tabs>
        <w:ind w:left="709" w:right="386" w:hanging="709"/>
      </w:pPr>
      <w:r>
        <w:t>93</w:t>
      </w:r>
      <w:r w:rsidR="0027233E">
        <w:tab/>
      </w:r>
      <w:r w:rsidR="0027233E">
        <w:tab/>
      </w:r>
      <w:r w:rsidR="007E0B2C" w:rsidRPr="0027233E">
        <w:t xml:space="preserve">It seems reasonable to assume that some if not all of these projects will </w:t>
      </w:r>
      <w:r w:rsidR="0027233E" w:rsidRPr="0027233E">
        <w:t xml:space="preserve">receive </w:t>
      </w:r>
      <w:r w:rsidR="0027233E" w:rsidRPr="0065280F">
        <w:t>project approval and provision has been made in the budget for addit</w:t>
      </w:r>
      <w:r w:rsidR="000833D1">
        <w:t>io</w:t>
      </w:r>
      <w:r w:rsidR="0027233E" w:rsidRPr="0065280F">
        <w:t xml:space="preserve">nal capital expenditure of around £10 million to enable this. </w:t>
      </w:r>
    </w:p>
    <w:p w:rsidR="00070723" w:rsidRPr="0065280F" w:rsidRDefault="00070723" w:rsidP="00DA542F">
      <w:pPr>
        <w:pStyle w:val="Default"/>
        <w:tabs>
          <w:tab w:val="left" w:pos="709"/>
        </w:tabs>
        <w:ind w:right="386" w:hanging="720"/>
      </w:pPr>
    </w:p>
    <w:p w:rsidR="002E1AD5" w:rsidRDefault="002719F1" w:rsidP="007E34DD">
      <w:pPr>
        <w:pStyle w:val="ListParagraph"/>
        <w:numPr>
          <w:ilvl w:val="2"/>
          <w:numId w:val="32"/>
        </w:numPr>
        <w:tabs>
          <w:tab w:val="left" w:pos="709"/>
        </w:tabs>
        <w:ind w:left="709" w:right="386" w:hanging="709"/>
      </w:pPr>
      <w:r w:rsidRPr="0065280F">
        <w:t xml:space="preserve">The </w:t>
      </w:r>
      <w:r w:rsidR="001119EE" w:rsidRPr="0065280F">
        <w:t>current</w:t>
      </w:r>
      <w:r w:rsidR="00300C78" w:rsidRPr="0065280F">
        <w:t xml:space="preserve"> </w:t>
      </w:r>
      <w:r w:rsidRPr="0065280F">
        <w:t>General Fund Programme</w:t>
      </w:r>
      <w:r w:rsidR="00300C78" w:rsidRPr="0065280F">
        <w:t>,</w:t>
      </w:r>
      <w:r w:rsidRPr="0065280F">
        <w:t xml:space="preserve"> </w:t>
      </w:r>
      <w:r w:rsidR="00C73BD1" w:rsidRPr="0065280F">
        <w:t xml:space="preserve">shown in Appendix </w:t>
      </w:r>
      <w:r w:rsidR="00823B6F" w:rsidRPr="0065280F">
        <w:t>6</w:t>
      </w:r>
      <w:r w:rsidR="00300C78" w:rsidRPr="0065280F">
        <w:t>,</w:t>
      </w:r>
      <w:r w:rsidR="00823B6F" w:rsidRPr="0065280F">
        <w:t xml:space="preserve"> </w:t>
      </w:r>
      <w:r w:rsidRPr="0065280F">
        <w:t>amounts to around £</w:t>
      </w:r>
      <w:r w:rsidR="007F4E8C">
        <w:t>31</w:t>
      </w:r>
      <w:r w:rsidR="009E193C">
        <w:t>5</w:t>
      </w:r>
      <w:r w:rsidR="00114ABA" w:rsidRPr="0065280F">
        <w:t xml:space="preserve"> million </w:t>
      </w:r>
      <w:r w:rsidRPr="0065280F">
        <w:t>over the four year period</w:t>
      </w:r>
      <w:r w:rsidR="003F3E9A" w:rsidRPr="0065280F">
        <w:t>.</w:t>
      </w:r>
      <w:r w:rsidR="002D1EDA" w:rsidRPr="0065280F">
        <w:t xml:space="preserve"> </w:t>
      </w:r>
      <w:r w:rsidR="006734E6" w:rsidRPr="006734E6">
        <w:rPr>
          <w:rFonts w:cs="Arial"/>
        </w:rPr>
        <w:t>Within th</w:t>
      </w:r>
      <w:r w:rsidR="00BD3441">
        <w:rPr>
          <w:rFonts w:cs="Arial"/>
        </w:rPr>
        <w:t>is</w:t>
      </w:r>
      <w:r w:rsidR="006734E6" w:rsidRPr="006734E6">
        <w:rPr>
          <w:rFonts w:cs="Arial"/>
        </w:rPr>
        <w:t xml:space="preserve"> there is expenditure in relation to items of growth agreed at Council in </w:t>
      </w:r>
      <w:r w:rsidR="000833D1" w:rsidRPr="006734E6">
        <w:rPr>
          <w:rFonts w:cs="Arial"/>
        </w:rPr>
        <w:t>February</w:t>
      </w:r>
      <w:r w:rsidR="006734E6" w:rsidRPr="006734E6">
        <w:rPr>
          <w:rFonts w:cs="Arial"/>
        </w:rPr>
        <w:t xml:space="preserve"> 2020, for 2020-21 that Cabinet subsequently paused when they </w:t>
      </w:r>
      <w:r w:rsidR="000833D1" w:rsidRPr="006734E6">
        <w:rPr>
          <w:rFonts w:cs="Arial"/>
        </w:rPr>
        <w:t>received</w:t>
      </w:r>
      <w:r w:rsidR="006734E6" w:rsidRPr="006734E6">
        <w:rPr>
          <w:rFonts w:cs="Arial"/>
        </w:rPr>
        <w:t xml:space="preserve"> a budget update on 24th </w:t>
      </w:r>
      <w:r w:rsidR="006734E6" w:rsidRPr="00FD7457">
        <w:rPr>
          <w:rFonts w:cs="Arial"/>
        </w:rPr>
        <w:t>June</w:t>
      </w:r>
      <w:r w:rsidR="00BD3441">
        <w:rPr>
          <w:rFonts w:cs="Arial"/>
        </w:rPr>
        <w:t xml:space="preserve"> 2020</w:t>
      </w:r>
      <w:r w:rsidR="006734E6" w:rsidRPr="00FD7457">
        <w:rPr>
          <w:rFonts w:cs="Arial"/>
        </w:rPr>
        <w:t xml:space="preserve">. </w:t>
      </w:r>
      <w:r w:rsidR="002E1AD5" w:rsidRPr="00FD7457">
        <w:t>Based on the</w:t>
      </w:r>
      <w:r w:rsidR="002E1AD5">
        <w:t xml:space="preserve"> balanced medium term financial </w:t>
      </w:r>
      <w:r w:rsidR="00BD3441">
        <w:t>strategy</w:t>
      </w:r>
      <w:r w:rsidR="002E1AD5">
        <w:t xml:space="preserve"> for the </w:t>
      </w:r>
      <w:r w:rsidR="00BD3441">
        <w:t>four</w:t>
      </w:r>
      <w:r w:rsidR="002E1AD5">
        <w:t xml:space="preserve"> year period as contained within this budget</w:t>
      </w:r>
      <w:r w:rsidR="006734E6">
        <w:t xml:space="preserve"> report</w:t>
      </w:r>
      <w:r w:rsidR="002E1AD5">
        <w:t xml:space="preserve"> it would seem reasonable to recommence these schemes when it is practically possible to do so including </w:t>
      </w:r>
      <w:r w:rsidR="00BD3441">
        <w:t xml:space="preserve">within </w:t>
      </w:r>
      <w:r w:rsidR="002E1AD5">
        <w:t xml:space="preserve">the current </w:t>
      </w:r>
      <w:r w:rsidR="00BD3441">
        <w:t xml:space="preserve">financial </w:t>
      </w:r>
      <w:r w:rsidR="002E1AD5">
        <w:t xml:space="preserve">year 2020-21. </w:t>
      </w:r>
      <w:r w:rsidR="006734E6">
        <w:t>These schemes include</w:t>
      </w:r>
    </w:p>
    <w:p w:rsidR="006734E6" w:rsidRDefault="006734E6" w:rsidP="006734E6">
      <w:pPr>
        <w:pStyle w:val="ListParagraph"/>
        <w:tabs>
          <w:tab w:val="left" w:pos="709"/>
        </w:tabs>
        <w:ind w:left="709" w:right="386"/>
      </w:pPr>
    </w:p>
    <w:p w:rsidR="00AE1D43" w:rsidRDefault="00AE1D43" w:rsidP="00AE1D43">
      <w:pPr>
        <w:pStyle w:val="ListParagraph"/>
        <w:numPr>
          <w:ilvl w:val="0"/>
          <w:numId w:val="3"/>
        </w:numPr>
        <w:tabs>
          <w:tab w:val="left" w:pos="709"/>
        </w:tabs>
        <w:ind w:right="386"/>
      </w:pPr>
      <w:r w:rsidRPr="00AE1D43">
        <w:t xml:space="preserve">Upgrade of tennis courts </w:t>
      </w:r>
      <w:r w:rsidR="00FD7457">
        <w:t>- £35k</w:t>
      </w:r>
    </w:p>
    <w:p w:rsidR="00AE1D43" w:rsidRDefault="00811E2D" w:rsidP="00AE1D43">
      <w:pPr>
        <w:pStyle w:val="ListParagraph"/>
        <w:numPr>
          <w:ilvl w:val="0"/>
          <w:numId w:val="3"/>
        </w:numPr>
        <w:tabs>
          <w:tab w:val="left" w:pos="709"/>
        </w:tabs>
        <w:ind w:right="386"/>
      </w:pPr>
      <w:r>
        <w:t xml:space="preserve">A reduced </w:t>
      </w:r>
      <w:r w:rsidR="00AE1D43" w:rsidRPr="00AE1D43">
        <w:t xml:space="preserve">Car park resurfacing </w:t>
      </w:r>
      <w:r>
        <w:t>budget of</w:t>
      </w:r>
      <w:r w:rsidR="00FD7457">
        <w:t>- £</w:t>
      </w:r>
      <w:r w:rsidR="00B42346">
        <w:t>0.8</w:t>
      </w:r>
      <w:r w:rsidR="00FD7457">
        <w:t xml:space="preserve"> million over </w:t>
      </w:r>
      <w:r w:rsidR="00BD3441">
        <w:t>four</w:t>
      </w:r>
      <w:r w:rsidR="00FD7457">
        <w:t xml:space="preserve"> years</w:t>
      </w:r>
    </w:p>
    <w:p w:rsidR="00AE1D43" w:rsidRDefault="00AE1D43" w:rsidP="00AE1D43">
      <w:pPr>
        <w:pStyle w:val="ListParagraph"/>
        <w:numPr>
          <w:ilvl w:val="0"/>
          <w:numId w:val="3"/>
        </w:numPr>
        <w:tabs>
          <w:tab w:val="left" w:pos="709"/>
        </w:tabs>
        <w:ind w:right="386"/>
      </w:pPr>
      <w:r w:rsidRPr="00AE1D43">
        <w:t xml:space="preserve">Rosehill Community Centre Parking </w:t>
      </w:r>
      <w:r w:rsidR="00FD7457">
        <w:t>- £10k</w:t>
      </w:r>
    </w:p>
    <w:p w:rsidR="00AE1D43" w:rsidRDefault="00AE1D43" w:rsidP="00AE1D43">
      <w:pPr>
        <w:pStyle w:val="ListParagraph"/>
        <w:numPr>
          <w:ilvl w:val="0"/>
          <w:numId w:val="3"/>
        </w:numPr>
        <w:tabs>
          <w:tab w:val="left" w:pos="709"/>
        </w:tabs>
        <w:ind w:right="386"/>
      </w:pPr>
      <w:r w:rsidRPr="00AE1D43">
        <w:t xml:space="preserve">East Oxford Community Centre </w:t>
      </w:r>
      <w:r w:rsidR="00FD7457">
        <w:t>- £3.8 million</w:t>
      </w:r>
    </w:p>
    <w:p w:rsidR="00AE1D43" w:rsidRDefault="00AE1D43" w:rsidP="00AE1D43">
      <w:pPr>
        <w:pStyle w:val="ListParagraph"/>
        <w:numPr>
          <w:ilvl w:val="0"/>
          <w:numId w:val="3"/>
        </w:numPr>
        <w:tabs>
          <w:tab w:val="left" w:pos="709"/>
        </w:tabs>
        <w:ind w:right="386"/>
      </w:pPr>
      <w:proofErr w:type="spellStart"/>
      <w:r w:rsidRPr="00AE1D43">
        <w:t>Bullingdon</w:t>
      </w:r>
      <w:proofErr w:type="spellEnd"/>
      <w:r w:rsidRPr="00AE1D43">
        <w:t xml:space="preserve"> Community Centre </w:t>
      </w:r>
      <w:r w:rsidR="00FD7457">
        <w:t>- £1.3 million</w:t>
      </w:r>
    </w:p>
    <w:p w:rsidR="006734E6" w:rsidRDefault="00FD7457" w:rsidP="00AE1D43">
      <w:pPr>
        <w:pStyle w:val="ListParagraph"/>
        <w:numPr>
          <w:ilvl w:val="0"/>
          <w:numId w:val="3"/>
        </w:numPr>
        <w:tabs>
          <w:tab w:val="left" w:pos="709"/>
        </w:tabs>
        <w:ind w:right="386"/>
      </w:pPr>
      <w:r>
        <w:t>Commercial</w:t>
      </w:r>
      <w:r w:rsidR="00AE1D43">
        <w:t xml:space="preserve"> Property investment</w:t>
      </w:r>
      <w:r w:rsidR="00AE1D43" w:rsidRPr="00AE1D43">
        <w:t xml:space="preserve">  </w:t>
      </w:r>
      <w:r>
        <w:t xml:space="preserve">- see below </w:t>
      </w:r>
    </w:p>
    <w:p w:rsidR="002E1AD5" w:rsidRDefault="002E1AD5" w:rsidP="002E1AD5">
      <w:pPr>
        <w:pStyle w:val="Default"/>
        <w:tabs>
          <w:tab w:val="left" w:pos="709"/>
        </w:tabs>
        <w:ind w:right="386"/>
      </w:pPr>
    </w:p>
    <w:p w:rsidR="00D0012F" w:rsidRPr="0065280F" w:rsidRDefault="00D0012F" w:rsidP="0080626D">
      <w:pPr>
        <w:pStyle w:val="Default"/>
        <w:ind w:left="567" w:right="386" w:hanging="567"/>
        <w:jc w:val="both"/>
      </w:pPr>
    </w:p>
    <w:p w:rsidR="00D0012F" w:rsidRDefault="007E34DD" w:rsidP="0080626D">
      <w:pPr>
        <w:pStyle w:val="Default"/>
        <w:ind w:left="567" w:right="386" w:hanging="567"/>
        <w:jc w:val="both"/>
      </w:pPr>
      <w:r>
        <w:t>95</w:t>
      </w:r>
      <w:r w:rsidR="00E01737" w:rsidRPr="0065280F">
        <w:tab/>
      </w:r>
      <w:r w:rsidR="00AE1D43">
        <w:t>Other i</w:t>
      </w:r>
      <w:r w:rsidR="002D1EDA" w:rsidRPr="0065280F">
        <w:t>tems</w:t>
      </w:r>
      <w:r w:rsidR="002D1EDA" w:rsidRPr="00A33834">
        <w:t xml:space="preserve"> worthy of mention include:</w:t>
      </w:r>
    </w:p>
    <w:p w:rsidR="00FE1CD8" w:rsidRPr="00A33834" w:rsidRDefault="00FE1CD8" w:rsidP="0080626D">
      <w:pPr>
        <w:pStyle w:val="Default"/>
        <w:ind w:left="567" w:right="386" w:hanging="567"/>
        <w:jc w:val="both"/>
        <w:rPr>
          <w:lang w:val="en-GB"/>
        </w:rPr>
      </w:pPr>
    </w:p>
    <w:p w:rsidR="00957157" w:rsidRPr="003F3E9A" w:rsidRDefault="009A3D60" w:rsidP="007E34DD">
      <w:pPr>
        <w:pStyle w:val="ListParagraph"/>
        <w:numPr>
          <w:ilvl w:val="0"/>
          <w:numId w:val="33"/>
        </w:numPr>
        <w:tabs>
          <w:tab w:val="left" w:pos="8080"/>
        </w:tabs>
        <w:ind w:left="1134" w:right="934"/>
        <w:jc w:val="both"/>
        <w:rPr>
          <w:rFonts w:cs="Arial"/>
        </w:rPr>
      </w:pPr>
      <w:r w:rsidRPr="003F3E9A">
        <w:rPr>
          <w:b/>
        </w:rPr>
        <w:t>Commercial Property purchases</w:t>
      </w:r>
      <w:r w:rsidR="005F5877" w:rsidRPr="00A33834">
        <w:t xml:space="preserve"> –</w:t>
      </w:r>
      <w:r w:rsidR="00957157" w:rsidRPr="00957157">
        <w:t xml:space="preserve"> </w:t>
      </w:r>
      <w:r w:rsidR="00957157" w:rsidRPr="00A33834">
        <w:t>An amount of £</w:t>
      </w:r>
      <w:r w:rsidR="00957157">
        <w:t>62</w:t>
      </w:r>
      <w:r w:rsidR="00957157" w:rsidRPr="00A33834">
        <w:t xml:space="preserve"> million</w:t>
      </w:r>
      <w:r w:rsidR="00957157">
        <w:t xml:space="preserve"> was included in the Council</w:t>
      </w:r>
      <w:r w:rsidR="00BD2F96">
        <w:t>’</w:t>
      </w:r>
      <w:r w:rsidR="00957157">
        <w:t>s original</w:t>
      </w:r>
      <w:r w:rsidR="001156ED">
        <w:t xml:space="preserve"> MTFS</w:t>
      </w:r>
      <w:r w:rsidR="00957157">
        <w:t xml:space="preserve"> and this was subsequently put on pause in June 2020 partly a</w:t>
      </w:r>
      <w:r w:rsidR="00957157" w:rsidRPr="003F3E9A">
        <w:rPr>
          <w:rFonts w:cs="Arial"/>
        </w:rPr>
        <w:t xml:space="preserve">s a result of concerns around the Governments Consultation on the use of PWLB for property purchases </w:t>
      </w:r>
      <w:r w:rsidR="00D5725F">
        <w:rPr>
          <w:rFonts w:cs="Arial"/>
        </w:rPr>
        <w:lastRenderedPageBreak/>
        <w:t xml:space="preserve">for financial gain </w:t>
      </w:r>
      <w:r w:rsidR="00957157" w:rsidRPr="003F3E9A">
        <w:rPr>
          <w:rFonts w:cs="Arial"/>
        </w:rPr>
        <w:t>(the results of which will not be published until January 2021) but also uncertainties around the impact of COVID</w:t>
      </w:r>
      <w:r w:rsidR="00BD2F96">
        <w:rPr>
          <w:rFonts w:cs="Arial"/>
        </w:rPr>
        <w:t xml:space="preserve"> 19</w:t>
      </w:r>
      <w:r w:rsidR="00957157" w:rsidRPr="003F3E9A">
        <w:rPr>
          <w:rFonts w:cs="Arial"/>
        </w:rPr>
        <w:t>. Officers believe that there is continued occupier demand for logistics and warehousing which has seen investment values maintained and rents rise. The office sector has naturally slowed due to uncertainty however low levels of supply pre-C</w:t>
      </w:r>
      <w:r w:rsidR="00BD2F96">
        <w:rPr>
          <w:rFonts w:cs="Arial"/>
        </w:rPr>
        <w:t>OVID 19</w:t>
      </w:r>
      <w:r w:rsidR="00957157" w:rsidRPr="003F3E9A">
        <w:rPr>
          <w:rFonts w:cs="Arial"/>
        </w:rPr>
        <w:t xml:space="preserve"> and the previous loss of space to residential </w:t>
      </w:r>
      <w:r w:rsidR="00BD3441">
        <w:rPr>
          <w:rFonts w:cs="Arial"/>
        </w:rPr>
        <w:t xml:space="preserve">use </w:t>
      </w:r>
      <w:r w:rsidR="00957157" w:rsidRPr="003F3E9A">
        <w:rPr>
          <w:rFonts w:cs="Arial"/>
        </w:rPr>
        <w:t>is likely to see the sector recover quickly.  This is particularly likely to be the case in Oxford where there is continued lack of supply of modern office accommodation</w:t>
      </w:r>
      <w:r w:rsidR="00811E2D">
        <w:rPr>
          <w:rFonts w:cs="Arial"/>
        </w:rPr>
        <w:t>.</w:t>
      </w:r>
      <w:r w:rsidR="00957157" w:rsidRPr="003F3E9A">
        <w:rPr>
          <w:rFonts w:cs="Arial"/>
        </w:rPr>
        <w:t xml:space="preserve"> Not investing will leave the Council exposed to a high proportion of revenue from a declining retail sector whereas investing in other sectors such as industrial/warehousing, medical, life sciences will offer greater diversification and opportunities for revenue growth. Whilst there is uncertainty around the PWLB Consultation officers believe that property investments will still be feasible in respect of purchases that have economic regeneration at their heart. The recommendation is therefore to </w:t>
      </w:r>
      <w:proofErr w:type="spellStart"/>
      <w:r w:rsidR="00957157" w:rsidRPr="003F3E9A">
        <w:rPr>
          <w:rFonts w:cs="Arial"/>
        </w:rPr>
        <w:t>unpause</w:t>
      </w:r>
      <w:proofErr w:type="spellEnd"/>
      <w:r w:rsidR="00957157" w:rsidRPr="003F3E9A">
        <w:rPr>
          <w:rFonts w:cs="Arial"/>
        </w:rPr>
        <w:t xml:space="preserve"> the budget for property investment a</w:t>
      </w:r>
      <w:r w:rsidR="001156ED">
        <w:rPr>
          <w:rFonts w:cs="Arial"/>
        </w:rPr>
        <w:t>nd secure a budget over the MTFS</w:t>
      </w:r>
      <w:r w:rsidR="00957157" w:rsidRPr="003F3E9A">
        <w:rPr>
          <w:rFonts w:cs="Arial"/>
        </w:rPr>
        <w:t xml:space="preserve"> of £53</w:t>
      </w:r>
      <w:r w:rsidR="007F4E8C">
        <w:rPr>
          <w:rFonts w:cs="Arial"/>
        </w:rPr>
        <w:t xml:space="preserve">.5 </w:t>
      </w:r>
      <w:r w:rsidR="00957157" w:rsidRPr="003F3E9A">
        <w:rPr>
          <w:rFonts w:cs="Arial"/>
        </w:rPr>
        <w:t xml:space="preserve">million including fees for property purchases to be made in accordance with the Investment Strategy previously agreed by Cabinet.  </w:t>
      </w:r>
    </w:p>
    <w:p w:rsidR="00FE1CD8" w:rsidRDefault="00FE1CD8" w:rsidP="0045662E">
      <w:pPr>
        <w:pStyle w:val="ListParagraph"/>
        <w:tabs>
          <w:tab w:val="left" w:pos="8080"/>
        </w:tabs>
        <w:ind w:left="1134" w:right="934"/>
        <w:jc w:val="both"/>
        <w:rPr>
          <w:rFonts w:cs="Arial"/>
        </w:rPr>
      </w:pPr>
    </w:p>
    <w:p w:rsidR="009A3D60" w:rsidRPr="00A33834" w:rsidRDefault="002D1EDA" w:rsidP="007E34DD">
      <w:pPr>
        <w:pStyle w:val="ListParagraph"/>
        <w:numPr>
          <w:ilvl w:val="0"/>
          <w:numId w:val="31"/>
        </w:numPr>
        <w:tabs>
          <w:tab w:val="left" w:pos="8080"/>
        </w:tabs>
        <w:ind w:right="934"/>
        <w:jc w:val="both"/>
      </w:pPr>
      <w:r w:rsidRPr="00D9229B">
        <w:rPr>
          <w:b/>
        </w:rPr>
        <w:t>1-3 George Street</w:t>
      </w:r>
      <w:r w:rsidRPr="00A33834">
        <w:t xml:space="preserve"> - £1.2 million refurbishment of a commercial property for renting  </w:t>
      </w:r>
    </w:p>
    <w:p w:rsidR="002D1EDA" w:rsidRPr="00A33834" w:rsidRDefault="002D1EDA" w:rsidP="007E34DD">
      <w:pPr>
        <w:pStyle w:val="Default"/>
        <w:numPr>
          <w:ilvl w:val="0"/>
          <w:numId w:val="31"/>
        </w:numPr>
        <w:ind w:right="386"/>
      </w:pPr>
      <w:r w:rsidRPr="00A33834">
        <w:rPr>
          <w:b/>
        </w:rPr>
        <w:t xml:space="preserve">Cave Street </w:t>
      </w:r>
      <w:r w:rsidR="004B5B8B">
        <w:rPr>
          <w:b/>
        </w:rPr>
        <w:t xml:space="preserve"> </w:t>
      </w:r>
      <w:r w:rsidR="004B5B8B" w:rsidRPr="004B5B8B">
        <w:t>-</w:t>
      </w:r>
      <w:r w:rsidRPr="004B5B8B">
        <w:t xml:space="preserve">£5.4 million – refurbishment of property </w:t>
      </w:r>
      <w:r w:rsidR="004B5B8B" w:rsidRPr="004B5B8B">
        <w:t xml:space="preserve">to ensure that it continues to provide a rental stream to the council for lettings to </w:t>
      </w:r>
      <w:proofErr w:type="spellStart"/>
      <w:r w:rsidR="000833D1" w:rsidRPr="004B5B8B">
        <w:t>organ</w:t>
      </w:r>
      <w:r w:rsidR="000833D1">
        <w:t>i</w:t>
      </w:r>
      <w:r w:rsidR="00BD3441">
        <w:t>s</w:t>
      </w:r>
      <w:r w:rsidR="000833D1" w:rsidRPr="004B5B8B">
        <w:t>ati</w:t>
      </w:r>
      <w:r w:rsidR="000833D1">
        <w:t>o</w:t>
      </w:r>
      <w:r w:rsidR="000833D1" w:rsidRPr="004B5B8B">
        <w:t>ns</w:t>
      </w:r>
      <w:proofErr w:type="spellEnd"/>
      <w:r w:rsidR="004B5B8B" w:rsidRPr="004B5B8B">
        <w:t xml:space="preserve"> for offices and studio units</w:t>
      </w:r>
    </w:p>
    <w:p w:rsidR="006F78A9" w:rsidRPr="00A33834" w:rsidRDefault="00567CCE" w:rsidP="007E34DD">
      <w:pPr>
        <w:pStyle w:val="Default"/>
        <w:numPr>
          <w:ilvl w:val="0"/>
          <w:numId w:val="31"/>
        </w:numPr>
        <w:tabs>
          <w:tab w:val="left" w:pos="1701"/>
        </w:tabs>
        <w:ind w:right="386"/>
      </w:pPr>
      <w:proofErr w:type="spellStart"/>
      <w:r w:rsidRPr="00A33834">
        <w:rPr>
          <w:b/>
        </w:rPr>
        <w:t>Bullingdon</w:t>
      </w:r>
      <w:proofErr w:type="spellEnd"/>
      <w:r w:rsidRPr="00A33834">
        <w:rPr>
          <w:b/>
        </w:rPr>
        <w:t xml:space="preserve"> Community Centre</w:t>
      </w:r>
      <w:r w:rsidR="00403ACB" w:rsidRPr="00A33834">
        <w:rPr>
          <w:b/>
        </w:rPr>
        <w:t xml:space="preserve"> </w:t>
      </w:r>
      <w:r w:rsidR="00922780" w:rsidRPr="00A33834">
        <w:rPr>
          <w:b/>
        </w:rPr>
        <w:t>–</w:t>
      </w:r>
      <w:r w:rsidR="005F5877" w:rsidRPr="00A33834">
        <w:t xml:space="preserve">The current Capital </w:t>
      </w:r>
      <w:proofErr w:type="spellStart"/>
      <w:r w:rsidR="005F5877" w:rsidRPr="00A33834">
        <w:t>Programme</w:t>
      </w:r>
      <w:proofErr w:type="spellEnd"/>
      <w:r w:rsidR="005F5877" w:rsidRPr="00A33834">
        <w:t xml:space="preserve"> makes provision for £1.</w:t>
      </w:r>
      <w:r w:rsidR="002E1AD5">
        <w:t>3</w:t>
      </w:r>
      <w:r w:rsidR="005F5877" w:rsidRPr="00A33834">
        <w:t xml:space="preserve"> million in respect of this project. </w:t>
      </w:r>
    </w:p>
    <w:p w:rsidR="00811E2D" w:rsidRDefault="002D1EDA" w:rsidP="007E34DD">
      <w:pPr>
        <w:pStyle w:val="Default"/>
        <w:numPr>
          <w:ilvl w:val="0"/>
          <w:numId w:val="31"/>
        </w:numPr>
        <w:ind w:right="386"/>
      </w:pPr>
      <w:r w:rsidRPr="00811E2D">
        <w:rPr>
          <w:b/>
        </w:rPr>
        <w:t>East Oxford Community Centre -</w:t>
      </w:r>
      <w:r w:rsidRPr="00A33834">
        <w:t xml:space="preserve"> £3.</w:t>
      </w:r>
      <w:r w:rsidR="00DA1557">
        <w:t>8</w:t>
      </w:r>
      <w:r w:rsidRPr="00A33834">
        <w:t xml:space="preserve"> million –refurbishment of community </w:t>
      </w:r>
      <w:proofErr w:type="spellStart"/>
      <w:r w:rsidRPr="00A33834">
        <w:t>centre</w:t>
      </w:r>
      <w:proofErr w:type="spellEnd"/>
      <w:r w:rsidRPr="00A33834">
        <w:t xml:space="preserve"> </w:t>
      </w:r>
      <w:r w:rsidR="00811E2D">
        <w:t>and associated sites</w:t>
      </w:r>
      <w:r w:rsidR="00811E2D" w:rsidRPr="00A33834">
        <w:t xml:space="preserve"> linked to development of social housing</w:t>
      </w:r>
      <w:r w:rsidR="00811E2D">
        <w:t xml:space="preserve"> and improved community facilities</w:t>
      </w:r>
      <w:r w:rsidR="00811E2D" w:rsidRPr="00A33834">
        <w:t xml:space="preserve"> </w:t>
      </w:r>
    </w:p>
    <w:p w:rsidR="002D1EDA" w:rsidRPr="00A33834" w:rsidRDefault="002D1EDA" w:rsidP="007E34DD">
      <w:pPr>
        <w:pStyle w:val="Default"/>
        <w:numPr>
          <w:ilvl w:val="0"/>
          <w:numId w:val="31"/>
        </w:numPr>
        <w:ind w:right="386"/>
      </w:pPr>
      <w:r w:rsidRPr="00811E2D">
        <w:rPr>
          <w:b/>
        </w:rPr>
        <w:t>Covered market-</w:t>
      </w:r>
      <w:r w:rsidRPr="00A33834">
        <w:t xml:space="preserve"> £2.2 million of planned maintenance and roofing works </w:t>
      </w:r>
    </w:p>
    <w:p w:rsidR="00DA1557" w:rsidRPr="00A33834" w:rsidRDefault="00003FE6" w:rsidP="007E34DD">
      <w:pPr>
        <w:pStyle w:val="Default"/>
        <w:numPr>
          <w:ilvl w:val="0"/>
          <w:numId w:val="31"/>
        </w:numPr>
        <w:ind w:right="386"/>
      </w:pPr>
      <w:proofErr w:type="spellStart"/>
      <w:r w:rsidRPr="00A33834">
        <w:rPr>
          <w:b/>
        </w:rPr>
        <w:t>Osney</w:t>
      </w:r>
      <w:proofErr w:type="spellEnd"/>
      <w:r w:rsidRPr="00A33834">
        <w:rPr>
          <w:b/>
        </w:rPr>
        <w:t xml:space="preserve"> Mead  -</w:t>
      </w:r>
      <w:r w:rsidRPr="00A33834">
        <w:t xml:space="preserve"> £</w:t>
      </w:r>
      <w:r w:rsidR="007F4E8C">
        <w:t>6</w:t>
      </w:r>
      <w:r w:rsidRPr="00A33834">
        <w:t xml:space="preserve"> million</w:t>
      </w:r>
      <w:r w:rsidR="00D9229B">
        <w:t xml:space="preserve">- </w:t>
      </w:r>
      <w:r w:rsidR="00DA1557">
        <w:t xml:space="preserve">the council secured a grant from the Housing Infrastructure Fund (HIF) to provide funding to support the delivery of development at </w:t>
      </w:r>
      <w:proofErr w:type="spellStart"/>
      <w:r w:rsidR="00DA1557">
        <w:t>Osney</w:t>
      </w:r>
      <w:proofErr w:type="spellEnd"/>
      <w:r w:rsidR="00DA1557">
        <w:t xml:space="preserve"> Mead</w:t>
      </w:r>
      <w:r w:rsidR="00DA1557" w:rsidDel="00F02008">
        <w:t xml:space="preserve"> </w:t>
      </w:r>
      <w:r w:rsidR="00DA1557">
        <w:t xml:space="preserve">by contributing to the </w:t>
      </w:r>
      <w:r w:rsidR="00DA1557" w:rsidRPr="005F7D45">
        <w:t>Oxford Flood Alleviation Scheme (OFAS)</w:t>
      </w:r>
      <w:r w:rsidR="00DA1557">
        <w:t xml:space="preserve"> and walking and cycling improvements </w:t>
      </w:r>
    </w:p>
    <w:p w:rsidR="00003FE6" w:rsidRPr="00A33834" w:rsidRDefault="00003FE6" w:rsidP="007E34DD">
      <w:pPr>
        <w:pStyle w:val="Default"/>
        <w:numPr>
          <w:ilvl w:val="0"/>
          <w:numId w:val="31"/>
        </w:numPr>
        <w:ind w:right="386"/>
      </w:pPr>
      <w:proofErr w:type="spellStart"/>
      <w:r w:rsidRPr="00A33834">
        <w:rPr>
          <w:b/>
        </w:rPr>
        <w:t>Osney</w:t>
      </w:r>
      <w:proofErr w:type="spellEnd"/>
      <w:r w:rsidRPr="00A33834">
        <w:rPr>
          <w:b/>
        </w:rPr>
        <w:t xml:space="preserve"> Bridge -</w:t>
      </w:r>
      <w:r w:rsidRPr="00A33834">
        <w:t xml:space="preserve"> £6 million</w:t>
      </w:r>
      <w:r w:rsidR="00D9229B">
        <w:t xml:space="preserve"> contribution from </w:t>
      </w:r>
      <w:proofErr w:type="spellStart"/>
      <w:r w:rsidR="00D9229B">
        <w:t>Oxfordshire</w:t>
      </w:r>
      <w:proofErr w:type="spellEnd"/>
      <w:r w:rsidR="00D9229B">
        <w:t xml:space="preserve"> Growth Fund to fund construction of </w:t>
      </w:r>
      <w:proofErr w:type="spellStart"/>
      <w:r w:rsidR="00D9229B">
        <w:t>Osney</w:t>
      </w:r>
      <w:proofErr w:type="spellEnd"/>
      <w:r w:rsidR="00D9229B">
        <w:t xml:space="preserve"> Bridge</w:t>
      </w:r>
    </w:p>
    <w:p w:rsidR="00003FE6" w:rsidRPr="00A33834" w:rsidRDefault="00003FE6" w:rsidP="007E34DD">
      <w:pPr>
        <w:pStyle w:val="Default"/>
        <w:numPr>
          <w:ilvl w:val="0"/>
          <w:numId w:val="31"/>
        </w:numPr>
        <w:ind w:right="386"/>
      </w:pPr>
      <w:r w:rsidRPr="00A33834">
        <w:rPr>
          <w:b/>
        </w:rPr>
        <w:t xml:space="preserve">Loans to Oxford City Housing Ltd </w:t>
      </w:r>
      <w:r w:rsidRPr="00A33834">
        <w:t>– £153 million for funding the development of social</w:t>
      </w:r>
      <w:r w:rsidR="00D9229B">
        <w:t>,</w:t>
      </w:r>
      <w:r w:rsidRPr="00A33834">
        <w:t xml:space="preserve"> </w:t>
      </w:r>
      <w:r w:rsidR="00D9229B">
        <w:t>m</w:t>
      </w:r>
      <w:r w:rsidRPr="00A33834">
        <w:t>arket and shared ownership housing</w:t>
      </w:r>
      <w:r w:rsidRPr="00A33834">
        <w:rPr>
          <w:b/>
        </w:rPr>
        <w:t xml:space="preserve">  </w:t>
      </w:r>
    </w:p>
    <w:p w:rsidR="00003FE6" w:rsidRPr="00A33834" w:rsidRDefault="00003FE6" w:rsidP="007E34DD">
      <w:pPr>
        <w:pStyle w:val="Default"/>
        <w:numPr>
          <w:ilvl w:val="0"/>
          <w:numId w:val="31"/>
        </w:numPr>
        <w:ind w:right="386"/>
      </w:pPr>
      <w:r w:rsidRPr="00A33834">
        <w:rPr>
          <w:b/>
        </w:rPr>
        <w:t xml:space="preserve">Purchase of </w:t>
      </w:r>
      <w:r w:rsidR="00961769" w:rsidRPr="00A33834">
        <w:rPr>
          <w:b/>
        </w:rPr>
        <w:t>vehicles</w:t>
      </w:r>
      <w:r w:rsidRPr="00A33834">
        <w:rPr>
          <w:b/>
        </w:rPr>
        <w:t xml:space="preserve"> </w:t>
      </w:r>
      <w:r w:rsidRPr="00A33834">
        <w:t>- £11.7 million for the purchase of vehicles subsequently leased to oxford Direct Services</w:t>
      </w:r>
    </w:p>
    <w:p w:rsidR="00003FE6" w:rsidRDefault="00BD3441" w:rsidP="007E34DD">
      <w:pPr>
        <w:pStyle w:val="Default"/>
        <w:numPr>
          <w:ilvl w:val="0"/>
          <w:numId w:val="31"/>
        </w:numPr>
        <w:ind w:right="386"/>
      </w:pPr>
      <w:r>
        <w:rPr>
          <w:b/>
        </w:rPr>
        <w:t xml:space="preserve">Depot </w:t>
      </w:r>
      <w:proofErr w:type="spellStart"/>
      <w:r>
        <w:rPr>
          <w:b/>
        </w:rPr>
        <w:t>rationalis</w:t>
      </w:r>
      <w:r w:rsidR="00003FE6" w:rsidRPr="00A33834">
        <w:rPr>
          <w:b/>
        </w:rPr>
        <w:t>ation</w:t>
      </w:r>
      <w:proofErr w:type="spellEnd"/>
      <w:r w:rsidR="00003FE6" w:rsidRPr="00A33834">
        <w:rPr>
          <w:b/>
        </w:rPr>
        <w:t xml:space="preserve"> </w:t>
      </w:r>
      <w:r w:rsidR="00003FE6" w:rsidRPr="00A33834">
        <w:t>– £12 million - Initial estimate for the construction of a single depot</w:t>
      </w:r>
      <w:r w:rsidR="002E1AD5">
        <w:t xml:space="preserve"> for Oxford Direct Services Ltd</w:t>
      </w:r>
      <w:r w:rsidR="00811E2D">
        <w:t xml:space="preserve"> which will deliver significant revenue savings and thus increased dividends</w:t>
      </w:r>
    </w:p>
    <w:p w:rsidR="007F4E8C" w:rsidRPr="00A33834" w:rsidRDefault="007F4E8C" w:rsidP="007E34DD">
      <w:pPr>
        <w:pStyle w:val="Default"/>
        <w:numPr>
          <w:ilvl w:val="0"/>
          <w:numId w:val="31"/>
        </w:numPr>
        <w:ind w:right="386"/>
      </w:pPr>
      <w:r>
        <w:rPr>
          <w:b/>
        </w:rPr>
        <w:t xml:space="preserve">Blackbird Leys Regeneration </w:t>
      </w:r>
      <w:r w:rsidRPr="007F4E8C">
        <w:t>-</w:t>
      </w:r>
      <w:r>
        <w:t xml:space="preserve"> £17 million General Fund. £4 million HRA for the </w:t>
      </w:r>
      <w:r w:rsidR="00901DF6">
        <w:t xml:space="preserve">development of affordable and market housing, community </w:t>
      </w:r>
      <w:proofErr w:type="spellStart"/>
      <w:r w:rsidR="00901DF6">
        <w:t>centre</w:t>
      </w:r>
      <w:proofErr w:type="spellEnd"/>
      <w:r w:rsidR="00901DF6">
        <w:t>, replacement shops and associated infrastructure</w:t>
      </w:r>
    </w:p>
    <w:p w:rsidR="00C37005" w:rsidRPr="001336B6" w:rsidRDefault="00C37005" w:rsidP="00C37005">
      <w:pPr>
        <w:pStyle w:val="Default"/>
        <w:ind w:right="386"/>
        <w:rPr>
          <w:b/>
        </w:rPr>
      </w:pPr>
    </w:p>
    <w:p w:rsidR="002719F1" w:rsidRPr="001336B6" w:rsidRDefault="0001206E" w:rsidP="007E34DD">
      <w:pPr>
        <w:pStyle w:val="Default"/>
        <w:numPr>
          <w:ilvl w:val="0"/>
          <w:numId w:val="57"/>
        </w:numPr>
        <w:ind w:left="709" w:right="386" w:hanging="709"/>
      </w:pPr>
      <w:r w:rsidRPr="001336B6">
        <w:lastRenderedPageBreak/>
        <w:t>F</w:t>
      </w:r>
      <w:r w:rsidR="002719F1" w:rsidRPr="001336B6">
        <w:t>und</w:t>
      </w:r>
      <w:r w:rsidRPr="001336B6">
        <w:t xml:space="preserve">ing of the </w:t>
      </w:r>
      <w:proofErr w:type="spellStart"/>
      <w:r w:rsidRPr="001336B6">
        <w:t>Programme</w:t>
      </w:r>
      <w:proofErr w:type="spellEnd"/>
      <w:r w:rsidRPr="001336B6">
        <w:t xml:space="preserve"> is </w:t>
      </w:r>
      <w:r w:rsidR="002719F1" w:rsidRPr="001336B6">
        <w:t xml:space="preserve">by </w:t>
      </w:r>
      <w:r w:rsidR="00504A19" w:rsidRPr="001336B6">
        <w:t xml:space="preserve">Capital </w:t>
      </w:r>
      <w:r w:rsidR="00C32D43" w:rsidRPr="001336B6">
        <w:rPr>
          <w:lang w:val="en-GB"/>
        </w:rPr>
        <w:t>Receipts</w:t>
      </w:r>
      <w:r w:rsidR="00504A19" w:rsidRPr="001336B6">
        <w:t xml:space="preserve"> </w:t>
      </w:r>
      <w:r w:rsidR="00A067D9" w:rsidRPr="001336B6">
        <w:t>£</w:t>
      </w:r>
      <w:r w:rsidR="00A4718E" w:rsidRPr="001336B6">
        <w:t>3</w:t>
      </w:r>
      <w:r w:rsidR="00A7318A" w:rsidRPr="001336B6">
        <w:t xml:space="preserve">4 </w:t>
      </w:r>
      <w:r w:rsidR="00A067D9" w:rsidRPr="001336B6">
        <w:t xml:space="preserve">million </w:t>
      </w:r>
      <w:r w:rsidR="00504A19" w:rsidRPr="001336B6">
        <w:t>(</w:t>
      </w:r>
      <w:r w:rsidR="00A7318A" w:rsidRPr="001336B6">
        <w:t>1</w:t>
      </w:r>
      <w:r w:rsidR="00901DF6">
        <w:t>0</w:t>
      </w:r>
      <w:r w:rsidR="00A7318A" w:rsidRPr="001336B6">
        <w:t>.</w:t>
      </w:r>
      <w:r w:rsidR="00901DF6">
        <w:t>8</w:t>
      </w:r>
      <w:r w:rsidR="00E64CC6" w:rsidRPr="001336B6">
        <w:t>%</w:t>
      </w:r>
      <w:r w:rsidR="00504A19" w:rsidRPr="001336B6">
        <w:t xml:space="preserve">) </w:t>
      </w:r>
      <w:r w:rsidR="00ED7592" w:rsidRPr="001336B6">
        <w:t xml:space="preserve">Community Infrastructure Levy </w:t>
      </w:r>
      <w:r w:rsidR="00A4718E" w:rsidRPr="001336B6">
        <w:t xml:space="preserve">and Section 106 </w:t>
      </w:r>
      <w:r w:rsidR="00A067D9" w:rsidRPr="001336B6">
        <w:t>£</w:t>
      </w:r>
      <w:r w:rsidR="00901DF6">
        <w:t>13.8</w:t>
      </w:r>
      <w:r w:rsidR="00A7318A" w:rsidRPr="001336B6">
        <w:t xml:space="preserve"> </w:t>
      </w:r>
      <w:r w:rsidR="00A067D9" w:rsidRPr="001336B6">
        <w:t xml:space="preserve">million </w:t>
      </w:r>
      <w:r w:rsidR="00ED7592" w:rsidRPr="001336B6">
        <w:t>(</w:t>
      </w:r>
      <w:r w:rsidR="00901DF6">
        <w:t>4.3</w:t>
      </w:r>
      <w:r w:rsidR="00ED7592" w:rsidRPr="001336B6">
        <w:t>%)</w:t>
      </w:r>
      <w:r w:rsidR="00411035" w:rsidRPr="001336B6">
        <w:t xml:space="preserve">, borrowing </w:t>
      </w:r>
      <w:r w:rsidR="00A067D9" w:rsidRPr="001336B6">
        <w:t>£</w:t>
      </w:r>
      <w:r w:rsidR="001336B6" w:rsidRPr="001336B6">
        <w:t>23</w:t>
      </w:r>
      <w:r w:rsidR="00901DF6">
        <w:t>7</w:t>
      </w:r>
      <w:r w:rsidR="001336B6" w:rsidRPr="001336B6">
        <w:t>.</w:t>
      </w:r>
      <w:r w:rsidR="00901DF6">
        <w:t>8</w:t>
      </w:r>
      <w:r w:rsidR="00A067D9" w:rsidRPr="001336B6">
        <w:t xml:space="preserve"> million </w:t>
      </w:r>
      <w:r w:rsidR="00411035" w:rsidRPr="001336B6">
        <w:t>(</w:t>
      </w:r>
      <w:r w:rsidR="00901DF6">
        <w:t>75.8</w:t>
      </w:r>
      <w:r w:rsidR="00411035" w:rsidRPr="001336B6">
        <w:t>%)</w:t>
      </w:r>
      <w:r w:rsidR="00E33C28" w:rsidRPr="001336B6">
        <w:t xml:space="preserve"> </w:t>
      </w:r>
      <w:r w:rsidR="002719F1" w:rsidRPr="001336B6">
        <w:t xml:space="preserve">Government Grants </w:t>
      </w:r>
      <w:r w:rsidR="00A067D9" w:rsidRPr="001336B6">
        <w:t>£</w:t>
      </w:r>
      <w:r w:rsidR="00901DF6">
        <w:t>25.6</w:t>
      </w:r>
      <w:r w:rsidR="00A067D9" w:rsidRPr="001336B6">
        <w:t xml:space="preserve"> million </w:t>
      </w:r>
      <w:r w:rsidR="002719F1" w:rsidRPr="001336B6">
        <w:t>(</w:t>
      </w:r>
      <w:r w:rsidR="00901DF6">
        <w:t>8.2</w:t>
      </w:r>
      <w:r w:rsidR="002719F1" w:rsidRPr="001336B6">
        <w:t>%)</w:t>
      </w:r>
      <w:r w:rsidR="000833D1">
        <w:t xml:space="preserve"> </w:t>
      </w:r>
      <w:r w:rsidR="001336B6" w:rsidRPr="001336B6">
        <w:t>and £</w:t>
      </w:r>
      <w:r w:rsidR="00901DF6">
        <w:t>3</w:t>
      </w:r>
      <w:r w:rsidR="001336B6" w:rsidRPr="001336B6">
        <w:t xml:space="preserve"> million revenue (0.9%)</w:t>
      </w:r>
      <w:r w:rsidR="002719F1" w:rsidRPr="001336B6">
        <w:t xml:space="preserve">. All revenue costs have been included in the General Fund revenue budget. </w:t>
      </w:r>
    </w:p>
    <w:p w:rsidR="00F34E29" w:rsidRPr="00000222" w:rsidRDefault="00F34E29" w:rsidP="008910A2">
      <w:pPr>
        <w:pStyle w:val="Default"/>
        <w:ind w:left="567" w:right="386" w:hanging="567"/>
        <w:rPr>
          <w:highlight w:val="yellow"/>
        </w:rPr>
      </w:pPr>
    </w:p>
    <w:p w:rsidR="00852272" w:rsidRPr="001336B6" w:rsidRDefault="00852272" w:rsidP="008910A2">
      <w:pPr>
        <w:pStyle w:val="Default"/>
        <w:ind w:left="567" w:right="386" w:hanging="567"/>
        <w:rPr>
          <w:b/>
          <w:color w:val="auto"/>
        </w:rPr>
      </w:pPr>
      <w:r w:rsidRPr="001336B6">
        <w:rPr>
          <w:b/>
          <w:color w:val="auto"/>
        </w:rPr>
        <w:t xml:space="preserve">Housing Revenue Account Capital </w:t>
      </w:r>
      <w:proofErr w:type="spellStart"/>
      <w:r w:rsidRPr="001336B6">
        <w:rPr>
          <w:b/>
          <w:color w:val="auto"/>
        </w:rPr>
        <w:t>Programme</w:t>
      </w:r>
      <w:proofErr w:type="spellEnd"/>
    </w:p>
    <w:p w:rsidR="008910A2" w:rsidRPr="001336B6" w:rsidRDefault="008910A2" w:rsidP="001F46D8">
      <w:pPr>
        <w:pStyle w:val="Default"/>
        <w:ind w:left="567" w:right="386" w:hanging="567"/>
        <w:rPr>
          <w:b/>
          <w:color w:val="auto"/>
        </w:rPr>
      </w:pPr>
    </w:p>
    <w:p w:rsidR="00614D4F" w:rsidRPr="001336B6" w:rsidRDefault="00852272" w:rsidP="007E34DD">
      <w:pPr>
        <w:pStyle w:val="Default"/>
        <w:numPr>
          <w:ilvl w:val="0"/>
          <w:numId w:val="57"/>
        </w:numPr>
        <w:ind w:left="709" w:right="386" w:hanging="709"/>
        <w:rPr>
          <w:color w:val="auto"/>
        </w:rPr>
      </w:pPr>
      <w:r w:rsidRPr="001336B6">
        <w:rPr>
          <w:color w:val="auto"/>
        </w:rPr>
        <w:t xml:space="preserve">The draft HRA Capital </w:t>
      </w:r>
      <w:proofErr w:type="spellStart"/>
      <w:r w:rsidRPr="001336B6">
        <w:rPr>
          <w:color w:val="auto"/>
        </w:rPr>
        <w:t>Programme</w:t>
      </w:r>
      <w:proofErr w:type="spellEnd"/>
      <w:r w:rsidRPr="001336B6">
        <w:rPr>
          <w:color w:val="auto"/>
        </w:rPr>
        <w:t xml:space="preserve"> </w:t>
      </w:r>
      <w:r w:rsidR="00AA5E8E" w:rsidRPr="001336B6">
        <w:rPr>
          <w:color w:val="auto"/>
        </w:rPr>
        <w:t xml:space="preserve">is </w:t>
      </w:r>
      <w:r w:rsidR="001C6317" w:rsidRPr="001336B6">
        <w:rPr>
          <w:color w:val="auto"/>
        </w:rPr>
        <w:t>intrinsically</w:t>
      </w:r>
      <w:r w:rsidR="00AA5E8E" w:rsidRPr="001336B6">
        <w:rPr>
          <w:color w:val="auto"/>
        </w:rPr>
        <w:t xml:space="preserve"> linked to the </w:t>
      </w:r>
      <w:r w:rsidR="000F525A" w:rsidRPr="001336B6">
        <w:rPr>
          <w:color w:val="auto"/>
        </w:rPr>
        <w:t>HRA</w:t>
      </w:r>
      <w:r w:rsidR="00AA5E8E" w:rsidRPr="001336B6">
        <w:rPr>
          <w:color w:val="auto"/>
        </w:rPr>
        <w:t xml:space="preserve"> </w:t>
      </w:r>
      <w:r w:rsidR="00E34F9A" w:rsidRPr="001336B6">
        <w:rPr>
          <w:color w:val="auto"/>
        </w:rPr>
        <w:t>B</w:t>
      </w:r>
      <w:r w:rsidR="00AA5E8E" w:rsidRPr="001336B6">
        <w:rPr>
          <w:color w:val="auto"/>
        </w:rPr>
        <w:t xml:space="preserve">usiness </w:t>
      </w:r>
      <w:r w:rsidR="0048458E" w:rsidRPr="001336B6">
        <w:rPr>
          <w:color w:val="auto"/>
        </w:rPr>
        <w:t>P</w:t>
      </w:r>
      <w:r w:rsidR="00AA5E8E" w:rsidRPr="001336B6">
        <w:rPr>
          <w:color w:val="auto"/>
        </w:rPr>
        <w:t>lan</w:t>
      </w:r>
      <w:r w:rsidR="000F525A" w:rsidRPr="001336B6">
        <w:rPr>
          <w:color w:val="auto"/>
        </w:rPr>
        <w:t xml:space="preserve"> since the resources to fund the </w:t>
      </w:r>
      <w:r w:rsidR="000A731F" w:rsidRPr="001336B6">
        <w:rPr>
          <w:color w:val="auto"/>
          <w:lang w:val="en-GB"/>
        </w:rPr>
        <w:t xml:space="preserve">Programme </w:t>
      </w:r>
      <w:r w:rsidR="000F525A" w:rsidRPr="001336B6">
        <w:rPr>
          <w:color w:val="auto"/>
        </w:rPr>
        <w:t xml:space="preserve">are largely generated through </w:t>
      </w:r>
      <w:r w:rsidR="00614D4F" w:rsidRPr="001336B6">
        <w:rPr>
          <w:color w:val="auto"/>
        </w:rPr>
        <w:t>housing rents</w:t>
      </w:r>
      <w:r w:rsidR="00AA5E8E" w:rsidRPr="001336B6">
        <w:rPr>
          <w:color w:val="auto"/>
        </w:rPr>
        <w:t>.</w:t>
      </w:r>
      <w:r w:rsidR="00614D4F" w:rsidRPr="001336B6">
        <w:rPr>
          <w:color w:val="auto"/>
        </w:rPr>
        <w:t xml:space="preserve"> </w:t>
      </w:r>
      <w:r w:rsidR="00B7563C" w:rsidRPr="001336B6">
        <w:rPr>
          <w:color w:val="auto"/>
        </w:rPr>
        <w:t xml:space="preserve">Appendix 6 shows the existing HRA capital </w:t>
      </w:r>
      <w:proofErr w:type="spellStart"/>
      <w:r w:rsidR="00B7563C" w:rsidRPr="001336B6">
        <w:rPr>
          <w:color w:val="auto"/>
        </w:rPr>
        <w:t>program</w:t>
      </w:r>
      <w:r w:rsidR="00F01CC2" w:rsidRPr="001336B6">
        <w:rPr>
          <w:color w:val="auto"/>
        </w:rPr>
        <w:t>me</w:t>
      </w:r>
      <w:proofErr w:type="spellEnd"/>
      <w:r w:rsidR="00BD3441">
        <w:rPr>
          <w:color w:val="auto"/>
        </w:rPr>
        <w:t xml:space="preserve"> over the next four</w:t>
      </w:r>
      <w:r w:rsidR="00B7563C" w:rsidRPr="001336B6">
        <w:rPr>
          <w:color w:val="auto"/>
        </w:rPr>
        <w:t xml:space="preserve"> years </w:t>
      </w:r>
      <w:r w:rsidR="00DE3C95" w:rsidRPr="001336B6">
        <w:rPr>
          <w:color w:val="auto"/>
        </w:rPr>
        <w:t>totaling</w:t>
      </w:r>
      <w:r w:rsidR="00B7563C" w:rsidRPr="001336B6">
        <w:rPr>
          <w:color w:val="auto"/>
        </w:rPr>
        <w:t xml:space="preserve"> £</w:t>
      </w:r>
      <w:r w:rsidR="00BE705E">
        <w:rPr>
          <w:color w:val="auto"/>
        </w:rPr>
        <w:t>294</w:t>
      </w:r>
      <w:r w:rsidR="00B7563C" w:rsidRPr="001336B6">
        <w:rPr>
          <w:color w:val="auto"/>
        </w:rPr>
        <w:t xml:space="preserve"> million</w:t>
      </w:r>
      <w:r w:rsidR="001336B6" w:rsidRPr="001336B6">
        <w:rPr>
          <w:color w:val="auto"/>
        </w:rPr>
        <w:t xml:space="preserve">. Notable inclusions are </w:t>
      </w:r>
      <w:r w:rsidR="00243D69" w:rsidRPr="001336B6">
        <w:rPr>
          <w:color w:val="auto"/>
        </w:rPr>
        <w:t>:</w:t>
      </w:r>
    </w:p>
    <w:p w:rsidR="00C8620D" w:rsidRPr="00000222" w:rsidRDefault="00C8620D" w:rsidP="0045662E">
      <w:pPr>
        <w:pStyle w:val="Default"/>
        <w:ind w:left="709" w:right="386" w:hanging="709"/>
        <w:rPr>
          <w:color w:val="auto"/>
          <w:highlight w:val="yellow"/>
        </w:rPr>
      </w:pPr>
    </w:p>
    <w:p w:rsidR="00AA5FD8" w:rsidRPr="00000222" w:rsidRDefault="00AA5FD8" w:rsidP="00784728">
      <w:pPr>
        <w:pStyle w:val="Default"/>
        <w:ind w:right="386"/>
        <w:rPr>
          <w:b/>
          <w:color w:val="auto"/>
          <w:highlight w:val="yellow"/>
        </w:rPr>
      </w:pPr>
    </w:p>
    <w:p w:rsidR="00D9229B" w:rsidRPr="00D9229B" w:rsidRDefault="00D9229B" w:rsidP="007E34DD">
      <w:pPr>
        <w:pStyle w:val="Default"/>
        <w:numPr>
          <w:ilvl w:val="0"/>
          <w:numId w:val="28"/>
        </w:numPr>
        <w:ind w:right="386"/>
      </w:pPr>
      <w:r w:rsidRPr="00D9229B">
        <w:rPr>
          <w:b/>
        </w:rPr>
        <w:t xml:space="preserve">Planned maintenance and refurbishments </w:t>
      </w:r>
      <w:r w:rsidRPr="00D9229B">
        <w:t>to Council housing stock £47 million</w:t>
      </w:r>
    </w:p>
    <w:p w:rsidR="00C86ED8" w:rsidRPr="00D9229B" w:rsidRDefault="00AA5FD8" w:rsidP="007E34DD">
      <w:pPr>
        <w:pStyle w:val="Default"/>
        <w:numPr>
          <w:ilvl w:val="0"/>
          <w:numId w:val="28"/>
        </w:numPr>
        <w:ind w:right="386"/>
        <w:rPr>
          <w:b/>
          <w:color w:val="auto"/>
        </w:rPr>
      </w:pPr>
      <w:r w:rsidRPr="00D9229B">
        <w:rPr>
          <w:b/>
          <w:color w:val="auto"/>
        </w:rPr>
        <w:t xml:space="preserve">Properties purchased from OCHL </w:t>
      </w:r>
      <w:r w:rsidR="00C86ED8" w:rsidRPr="00D9229B">
        <w:rPr>
          <w:b/>
          <w:color w:val="auto"/>
        </w:rPr>
        <w:t>–</w:t>
      </w:r>
      <w:r w:rsidR="00AA4719" w:rsidRPr="00D9229B">
        <w:rPr>
          <w:color w:val="auto"/>
        </w:rPr>
        <w:t xml:space="preserve"> Council on 29</w:t>
      </w:r>
      <w:r w:rsidR="00AA4719" w:rsidRPr="00D9229B">
        <w:rPr>
          <w:color w:val="auto"/>
          <w:vertAlign w:val="superscript"/>
        </w:rPr>
        <w:t>th</w:t>
      </w:r>
      <w:r w:rsidR="00AA4719" w:rsidRPr="00D9229B">
        <w:rPr>
          <w:color w:val="auto"/>
        </w:rPr>
        <w:t xml:space="preserve"> July 2019 approved a strategy to purchase social houses from OCHL. The cost of these developments over the next four years is estimated at around £1</w:t>
      </w:r>
      <w:r w:rsidR="00901DF6">
        <w:rPr>
          <w:color w:val="auto"/>
        </w:rPr>
        <w:t>95</w:t>
      </w:r>
      <w:r w:rsidR="00AA4719" w:rsidRPr="00D9229B">
        <w:rPr>
          <w:color w:val="auto"/>
        </w:rPr>
        <w:t xml:space="preserve"> million which will be financed from borrowing</w:t>
      </w:r>
    </w:p>
    <w:p w:rsidR="00D9229B" w:rsidRPr="00D9229B" w:rsidRDefault="00C86ED8" w:rsidP="007E34DD">
      <w:pPr>
        <w:pStyle w:val="Default"/>
        <w:numPr>
          <w:ilvl w:val="0"/>
          <w:numId w:val="28"/>
        </w:numPr>
        <w:ind w:right="386"/>
        <w:rPr>
          <w:b/>
          <w:color w:val="auto"/>
        </w:rPr>
      </w:pPr>
      <w:r w:rsidRPr="00D9229B">
        <w:rPr>
          <w:b/>
          <w:color w:val="auto"/>
        </w:rPr>
        <w:t>Purchase of properties by Retained Right To Buy Receipts -</w:t>
      </w:r>
      <w:r w:rsidRPr="00D9229B">
        <w:t xml:space="preserve">Retained Right to Buy Receipts (RRTBRs) are the receipts that the Council are able to retain from Right to Buy sales over and above the number of units assumed by Government at the time of the HRA self-financing, in 2012. Receipts that are unspent after three years from the time of the sale must be returned to the Government, with interest (4% over base rate). Spend must be on new rented social housing supply, at up to 30% of the qualifying spend (i.e. £1m spend can be financed by using up to £300,000 of RRTBRs).This receipt/ spend profile is monitored quarterly. </w:t>
      </w:r>
    </w:p>
    <w:p w:rsidR="00D9229B" w:rsidRPr="00D9229B" w:rsidRDefault="00D9229B" w:rsidP="007E34DD">
      <w:pPr>
        <w:pStyle w:val="Default"/>
        <w:numPr>
          <w:ilvl w:val="0"/>
          <w:numId w:val="28"/>
        </w:numPr>
        <w:ind w:right="386"/>
      </w:pPr>
      <w:r w:rsidRPr="00D9229B">
        <w:rPr>
          <w:b/>
        </w:rPr>
        <w:t xml:space="preserve">Affordable housing developments in HRA </w:t>
      </w:r>
      <w:r w:rsidRPr="00D9229B">
        <w:t xml:space="preserve">- £39 million in respect of the development of affordable housing in Oxford </w:t>
      </w:r>
    </w:p>
    <w:p w:rsidR="00AA5FD8" w:rsidRPr="00EC72D7" w:rsidRDefault="00AA5FD8" w:rsidP="00AA5FD8">
      <w:pPr>
        <w:pStyle w:val="Default"/>
        <w:ind w:left="720" w:right="386"/>
        <w:rPr>
          <w:b/>
          <w:color w:val="auto"/>
        </w:rPr>
      </w:pPr>
    </w:p>
    <w:p w:rsidR="00832276" w:rsidRPr="00EC72D7" w:rsidRDefault="00832276" w:rsidP="007E34DD">
      <w:pPr>
        <w:pStyle w:val="ListParagraph"/>
        <w:numPr>
          <w:ilvl w:val="0"/>
          <w:numId w:val="57"/>
        </w:numPr>
        <w:ind w:left="709" w:hanging="709"/>
        <w:rPr>
          <w:rFonts w:eastAsia="Calibri" w:cs="Arial"/>
        </w:rPr>
      </w:pPr>
      <w:r w:rsidRPr="00EC72D7">
        <w:rPr>
          <w:rFonts w:eastAsia="Calibri" w:cs="Arial"/>
        </w:rPr>
        <w:t>The financing of the</w:t>
      </w:r>
      <w:r w:rsidR="007E3CFF" w:rsidRPr="00EC72D7">
        <w:rPr>
          <w:rFonts w:eastAsia="Calibri" w:cs="Arial"/>
        </w:rPr>
        <w:t xml:space="preserve"> HRA Capital Programme is from capital r</w:t>
      </w:r>
      <w:r w:rsidRPr="00EC72D7">
        <w:rPr>
          <w:rFonts w:eastAsia="Calibri" w:cs="Arial"/>
        </w:rPr>
        <w:t>eceipts £</w:t>
      </w:r>
      <w:r w:rsidR="00EC72D7" w:rsidRPr="00EC72D7">
        <w:rPr>
          <w:rFonts w:eastAsia="Calibri" w:cs="Arial"/>
        </w:rPr>
        <w:t>4.4</w:t>
      </w:r>
      <w:r w:rsidRPr="00EC72D7">
        <w:rPr>
          <w:rFonts w:eastAsia="Calibri" w:cs="Arial"/>
        </w:rPr>
        <w:t xml:space="preserve"> million, </w:t>
      </w:r>
      <w:r w:rsidR="00BE2EA7" w:rsidRPr="00EC72D7">
        <w:rPr>
          <w:rFonts w:eastAsia="Calibri" w:cs="Arial"/>
        </w:rPr>
        <w:t>(</w:t>
      </w:r>
      <w:r w:rsidR="00EC72D7" w:rsidRPr="00EC72D7">
        <w:rPr>
          <w:rFonts w:eastAsia="Calibri" w:cs="Arial"/>
        </w:rPr>
        <w:t>10</w:t>
      </w:r>
      <w:r w:rsidR="00BE2EA7" w:rsidRPr="00EC72D7">
        <w:rPr>
          <w:rFonts w:eastAsia="Calibri" w:cs="Arial"/>
        </w:rPr>
        <w:t xml:space="preserve">%) </w:t>
      </w:r>
      <w:r w:rsidR="007E3CFF" w:rsidRPr="00EC72D7">
        <w:rPr>
          <w:rFonts w:eastAsia="Calibri" w:cs="Arial"/>
        </w:rPr>
        <w:t>arranged b</w:t>
      </w:r>
      <w:r w:rsidRPr="00EC72D7">
        <w:rPr>
          <w:rFonts w:eastAsia="Calibri" w:cs="Arial"/>
        </w:rPr>
        <w:t>orrowing £</w:t>
      </w:r>
      <w:r w:rsidR="00EC72D7" w:rsidRPr="00EC72D7">
        <w:rPr>
          <w:rFonts w:eastAsia="Calibri" w:cs="Arial"/>
        </w:rPr>
        <w:t>210</w:t>
      </w:r>
      <w:r w:rsidRPr="00EC72D7">
        <w:rPr>
          <w:rFonts w:eastAsia="Calibri" w:cs="Arial"/>
        </w:rPr>
        <w:t xml:space="preserve"> million </w:t>
      </w:r>
      <w:r w:rsidR="00BE2EA7" w:rsidRPr="00EC72D7">
        <w:rPr>
          <w:rFonts w:eastAsia="Calibri" w:cs="Arial"/>
        </w:rPr>
        <w:t>(</w:t>
      </w:r>
      <w:r w:rsidR="00EC72D7" w:rsidRPr="00EC72D7">
        <w:rPr>
          <w:rFonts w:eastAsia="Calibri" w:cs="Arial"/>
        </w:rPr>
        <w:t>71.4</w:t>
      </w:r>
      <w:r w:rsidR="00BE2EA7" w:rsidRPr="00EC72D7">
        <w:rPr>
          <w:rFonts w:eastAsia="Calibri" w:cs="Arial"/>
        </w:rPr>
        <w:t xml:space="preserve">%), </w:t>
      </w:r>
      <w:r w:rsidR="007E3CFF" w:rsidRPr="00EC72D7">
        <w:rPr>
          <w:rFonts w:eastAsia="Calibri" w:cs="Arial"/>
        </w:rPr>
        <w:t>r</w:t>
      </w:r>
      <w:r w:rsidR="00BE2EA7" w:rsidRPr="00EC72D7">
        <w:rPr>
          <w:rFonts w:eastAsia="Calibri" w:cs="Arial"/>
        </w:rPr>
        <w:t>evenue £</w:t>
      </w:r>
      <w:r w:rsidR="00EC72D7" w:rsidRPr="00EC72D7">
        <w:rPr>
          <w:rFonts w:eastAsia="Calibri" w:cs="Arial"/>
        </w:rPr>
        <w:t>21.3</w:t>
      </w:r>
      <w:r w:rsidR="00BE2EA7" w:rsidRPr="00EC72D7">
        <w:rPr>
          <w:rFonts w:eastAsia="Calibri" w:cs="Arial"/>
        </w:rPr>
        <w:t xml:space="preserve"> million (</w:t>
      </w:r>
      <w:r w:rsidR="00EC72D7" w:rsidRPr="00EC72D7">
        <w:rPr>
          <w:rFonts w:eastAsia="Calibri" w:cs="Arial"/>
        </w:rPr>
        <w:t>7.3</w:t>
      </w:r>
      <w:r w:rsidR="00BE2EA7" w:rsidRPr="00EC72D7">
        <w:rPr>
          <w:rFonts w:eastAsia="Calibri" w:cs="Arial"/>
        </w:rPr>
        <w:t xml:space="preserve">%) </w:t>
      </w:r>
      <w:r w:rsidR="0065280F" w:rsidRPr="00EC72D7">
        <w:rPr>
          <w:rFonts w:eastAsia="Calibri" w:cs="Arial"/>
        </w:rPr>
        <w:t xml:space="preserve">and Homes England Grants </w:t>
      </w:r>
      <w:r w:rsidR="00EC72D7" w:rsidRPr="00EC72D7">
        <w:rPr>
          <w:rFonts w:eastAsia="Calibri" w:cs="Arial"/>
        </w:rPr>
        <w:t>£33.3</w:t>
      </w:r>
      <w:r w:rsidR="0065280F" w:rsidRPr="00EC72D7">
        <w:rPr>
          <w:rFonts w:eastAsia="Calibri" w:cs="Arial"/>
        </w:rPr>
        <w:t xml:space="preserve"> million (</w:t>
      </w:r>
      <w:r w:rsidR="00EC72D7" w:rsidRPr="00EC72D7">
        <w:rPr>
          <w:rFonts w:eastAsia="Calibri" w:cs="Arial"/>
        </w:rPr>
        <w:t>11.3</w:t>
      </w:r>
      <w:r w:rsidR="0065280F" w:rsidRPr="00EC72D7">
        <w:rPr>
          <w:rFonts w:eastAsia="Calibri" w:cs="Arial"/>
        </w:rPr>
        <w:t>%)</w:t>
      </w:r>
    </w:p>
    <w:p w:rsidR="00C667F2" w:rsidRPr="00000222" w:rsidRDefault="00C667F2" w:rsidP="00C667F2">
      <w:pPr>
        <w:pStyle w:val="ListParagraph"/>
        <w:rPr>
          <w:rFonts w:eastAsia="Calibri" w:cs="Arial"/>
          <w:highlight w:val="yellow"/>
        </w:rPr>
      </w:pPr>
    </w:p>
    <w:p w:rsidR="001F46D8" w:rsidRPr="00000222" w:rsidRDefault="001F46D8" w:rsidP="00A94A2E">
      <w:pPr>
        <w:rPr>
          <w:rFonts w:eastAsia="Calibri" w:cs="Arial"/>
          <w:highlight w:val="yellow"/>
        </w:rPr>
      </w:pPr>
    </w:p>
    <w:p w:rsidR="003A0255" w:rsidRPr="00F81726" w:rsidRDefault="009A6B0F" w:rsidP="00C8620D">
      <w:pPr>
        <w:tabs>
          <w:tab w:val="left" w:pos="630"/>
        </w:tabs>
        <w:rPr>
          <w:b/>
        </w:rPr>
      </w:pPr>
      <w:r w:rsidRPr="00F81726">
        <w:rPr>
          <w:b/>
        </w:rPr>
        <w:t>Risk Implications impacting the Capital Programme</w:t>
      </w:r>
    </w:p>
    <w:p w:rsidR="00C8620D" w:rsidRPr="00F81726" w:rsidRDefault="00C8620D" w:rsidP="00A94A2E">
      <w:pPr>
        <w:rPr>
          <w:b/>
        </w:rPr>
      </w:pPr>
    </w:p>
    <w:p w:rsidR="009A6B0F" w:rsidRPr="00F81726" w:rsidRDefault="009A6B0F" w:rsidP="007E34DD">
      <w:pPr>
        <w:pStyle w:val="ListParagraph"/>
        <w:numPr>
          <w:ilvl w:val="0"/>
          <w:numId w:val="57"/>
        </w:numPr>
        <w:ind w:left="709" w:right="386" w:hanging="709"/>
      </w:pPr>
      <w:r w:rsidRPr="00F81726">
        <w:t xml:space="preserve">The main risks to the </w:t>
      </w:r>
      <w:r w:rsidR="009E1C3C" w:rsidRPr="00F81726">
        <w:t>C</w:t>
      </w:r>
      <w:r w:rsidR="00DF0D5E" w:rsidRPr="00F81726">
        <w:t xml:space="preserve">apital Programme are set out in </w:t>
      </w:r>
      <w:r w:rsidRPr="00F81726">
        <w:t xml:space="preserve">Appendix </w:t>
      </w:r>
      <w:r w:rsidR="0059228F" w:rsidRPr="00F81726">
        <w:t>8</w:t>
      </w:r>
      <w:r w:rsidRPr="00F81726">
        <w:t xml:space="preserve"> </w:t>
      </w:r>
      <w:r w:rsidR="00DF0D5E" w:rsidRPr="00F81726">
        <w:t>and summarised below</w:t>
      </w:r>
      <w:r w:rsidRPr="00F81726">
        <w:t>:</w:t>
      </w:r>
    </w:p>
    <w:p w:rsidR="009A6B0F" w:rsidRPr="00F81726" w:rsidRDefault="009A6B0F" w:rsidP="0045662E">
      <w:pPr>
        <w:ind w:left="709" w:right="386" w:hanging="709"/>
      </w:pPr>
    </w:p>
    <w:p w:rsidR="009A6B0F" w:rsidRDefault="00F01503" w:rsidP="007E34DD">
      <w:pPr>
        <w:numPr>
          <w:ilvl w:val="0"/>
          <w:numId w:val="29"/>
        </w:numPr>
        <w:tabs>
          <w:tab w:val="clear" w:pos="1495"/>
          <w:tab w:val="num" w:pos="1134"/>
        </w:tabs>
        <w:ind w:left="1560" w:right="386" w:hanging="709"/>
      </w:pPr>
      <w:r w:rsidRPr="00811E2D">
        <w:t>Right to buy d</w:t>
      </w:r>
      <w:r w:rsidR="009A6B0F" w:rsidRPr="00811E2D">
        <w:t>isposals</w:t>
      </w:r>
      <w:r w:rsidR="00DF0D5E" w:rsidRPr="00811E2D">
        <w:t xml:space="preserve"> as detailed </w:t>
      </w:r>
      <w:r w:rsidRPr="00811E2D">
        <w:t xml:space="preserve">in the assumptions </w:t>
      </w:r>
      <w:r w:rsidR="00DF0D5E" w:rsidRPr="00811E2D">
        <w:t>are</w:t>
      </w:r>
      <w:r w:rsidR="009A6B0F" w:rsidRPr="00811E2D">
        <w:t xml:space="preserve"> not </w:t>
      </w:r>
      <w:r w:rsidRPr="00811E2D">
        <w:t xml:space="preserve">as forecast </w:t>
      </w:r>
      <w:r w:rsidR="009A6B0F" w:rsidRPr="00811E2D">
        <w:t>causing a shortfall in funding of schemes</w:t>
      </w:r>
    </w:p>
    <w:p w:rsidR="00811E2D" w:rsidRPr="00ED69C8" w:rsidRDefault="00811E2D" w:rsidP="007E34DD">
      <w:pPr>
        <w:numPr>
          <w:ilvl w:val="0"/>
          <w:numId w:val="29"/>
        </w:numPr>
        <w:tabs>
          <w:tab w:val="clear" w:pos="1495"/>
          <w:tab w:val="num" w:pos="1134"/>
        </w:tabs>
        <w:ind w:left="1560" w:right="386" w:hanging="709"/>
      </w:pPr>
      <w:r w:rsidRPr="00ED69C8">
        <w:t xml:space="preserve">Delays in construction of new homes by OCHL </w:t>
      </w:r>
    </w:p>
    <w:p w:rsidR="009A6B0F" w:rsidRPr="00ED69C8" w:rsidRDefault="009A6B0F" w:rsidP="007E34DD">
      <w:pPr>
        <w:numPr>
          <w:ilvl w:val="0"/>
          <w:numId w:val="29"/>
        </w:numPr>
        <w:tabs>
          <w:tab w:val="clear" w:pos="1495"/>
          <w:tab w:val="num" w:pos="630"/>
          <w:tab w:val="num" w:pos="1134"/>
        </w:tabs>
        <w:ind w:left="1560" w:right="386" w:hanging="709"/>
        <w:jc w:val="both"/>
      </w:pPr>
      <w:r w:rsidRPr="00ED69C8">
        <w:t xml:space="preserve">Slippage in </w:t>
      </w:r>
      <w:r w:rsidR="00DF0D5E" w:rsidRPr="00ED69C8">
        <w:t>C</w:t>
      </w:r>
      <w:r w:rsidRPr="00ED69C8">
        <w:t xml:space="preserve">apital </w:t>
      </w:r>
      <w:r w:rsidR="00DF0D5E" w:rsidRPr="00ED69C8">
        <w:t>P</w:t>
      </w:r>
      <w:r w:rsidRPr="00ED69C8">
        <w:t xml:space="preserve">rogramme and impact on </w:t>
      </w:r>
      <w:r w:rsidR="00E34F9A" w:rsidRPr="00ED69C8">
        <w:t>delivery of priorities</w:t>
      </w:r>
    </w:p>
    <w:p w:rsidR="009A6B0F" w:rsidRPr="00ED69C8" w:rsidRDefault="009A6B0F" w:rsidP="007E34DD">
      <w:pPr>
        <w:numPr>
          <w:ilvl w:val="0"/>
          <w:numId w:val="29"/>
        </w:numPr>
        <w:tabs>
          <w:tab w:val="clear" w:pos="1495"/>
          <w:tab w:val="num" w:pos="630"/>
          <w:tab w:val="num" w:pos="1134"/>
        </w:tabs>
        <w:ind w:left="1560" w:right="386" w:hanging="709"/>
        <w:jc w:val="both"/>
      </w:pPr>
      <w:r w:rsidRPr="00ED69C8">
        <w:t>Robustness of estimates</w:t>
      </w:r>
    </w:p>
    <w:p w:rsidR="001A54CF" w:rsidRPr="00000222" w:rsidRDefault="001A54CF" w:rsidP="007E34DD">
      <w:pPr>
        <w:ind w:left="1560" w:right="386" w:hanging="709"/>
        <w:jc w:val="both"/>
        <w:rPr>
          <w:b/>
          <w:highlight w:val="yellow"/>
        </w:rPr>
      </w:pPr>
    </w:p>
    <w:p w:rsidR="00C76527" w:rsidRDefault="00C76527" w:rsidP="0045662E">
      <w:pPr>
        <w:tabs>
          <w:tab w:val="left" w:pos="630"/>
        </w:tabs>
        <w:ind w:left="709" w:right="386" w:hanging="709"/>
        <w:jc w:val="both"/>
        <w:rPr>
          <w:b/>
        </w:rPr>
      </w:pPr>
    </w:p>
    <w:p w:rsidR="00C76527" w:rsidRDefault="00C76527" w:rsidP="0045662E">
      <w:pPr>
        <w:tabs>
          <w:tab w:val="left" w:pos="630"/>
        </w:tabs>
        <w:ind w:left="709" w:right="386" w:hanging="709"/>
        <w:jc w:val="both"/>
        <w:rPr>
          <w:b/>
        </w:rPr>
      </w:pPr>
    </w:p>
    <w:p w:rsidR="00E66B72" w:rsidRPr="00F81726" w:rsidRDefault="00E66B72" w:rsidP="0045662E">
      <w:pPr>
        <w:tabs>
          <w:tab w:val="left" w:pos="630"/>
        </w:tabs>
        <w:ind w:left="709" w:right="386" w:hanging="709"/>
        <w:jc w:val="both"/>
        <w:rPr>
          <w:b/>
        </w:rPr>
      </w:pPr>
      <w:r w:rsidRPr="00F81726">
        <w:rPr>
          <w:b/>
        </w:rPr>
        <w:lastRenderedPageBreak/>
        <w:t>Budget next steps</w:t>
      </w:r>
    </w:p>
    <w:p w:rsidR="00E66B72" w:rsidRPr="00F81726" w:rsidRDefault="00E66B72" w:rsidP="0045662E">
      <w:pPr>
        <w:ind w:left="709" w:right="386" w:hanging="709"/>
        <w:jc w:val="both"/>
      </w:pPr>
    </w:p>
    <w:p w:rsidR="00DE3FBB" w:rsidRDefault="00E66B72" w:rsidP="007E34DD">
      <w:pPr>
        <w:pStyle w:val="ListParagraph"/>
        <w:numPr>
          <w:ilvl w:val="0"/>
          <w:numId w:val="57"/>
        </w:numPr>
        <w:ind w:left="709" w:right="386" w:hanging="709"/>
        <w:jc w:val="both"/>
      </w:pPr>
      <w:r w:rsidRPr="00F81726">
        <w:t>The timetable for consultation and for Budget approval by Council is set out in the following table:</w:t>
      </w:r>
    </w:p>
    <w:p w:rsidR="00B436F1" w:rsidRDefault="00B436F1" w:rsidP="00B436F1">
      <w:pPr>
        <w:pStyle w:val="ListParagraph"/>
        <w:ind w:left="709" w:right="386"/>
        <w:jc w:val="both"/>
      </w:pPr>
    </w:p>
    <w:p w:rsidR="00804695" w:rsidRPr="00F81726" w:rsidRDefault="00804695" w:rsidP="005A6CB9">
      <w:pPr>
        <w:ind w:left="567" w:right="386" w:hanging="567"/>
        <w:jc w:val="both"/>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2412"/>
      </w:tblGrid>
      <w:tr w:rsidR="00B47C41" w:rsidRPr="00F81726" w:rsidTr="00804695">
        <w:tc>
          <w:tcPr>
            <w:tcW w:w="8933" w:type="dxa"/>
            <w:gridSpan w:val="2"/>
            <w:shd w:val="clear" w:color="auto" w:fill="BFBFBF" w:themeFill="background1" w:themeFillShade="BF"/>
          </w:tcPr>
          <w:p w:rsidR="00B47C41" w:rsidRPr="00F81726" w:rsidRDefault="00B47C41" w:rsidP="00967143">
            <w:pPr>
              <w:ind w:right="386"/>
              <w:rPr>
                <w:b/>
              </w:rPr>
            </w:pPr>
            <w:r w:rsidRPr="00F81726">
              <w:rPr>
                <w:b/>
              </w:rPr>
              <w:t xml:space="preserve">Table </w:t>
            </w:r>
            <w:r w:rsidR="00165A9E" w:rsidRPr="00F81726">
              <w:rPr>
                <w:b/>
              </w:rPr>
              <w:t>1</w:t>
            </w:r>
            <w:r w:rsidR="00967143">
              <w:rPr>
                <w:b/>
              </w:rPr>
              <w:t>5</w:t>
            </w:r>
            <w:r w:rsidR="00830665" w:rsidRPr="00F81726">
              <w:rPr>
                <w:b/>
              </w:rPr>
              <w:t>:</w:t>
            </w:r>
            <w:r w:rsidRPr="00F81726">
              <w:rPr>
                <w:b/>
              </w:rPr>
              <w:t xml:space="preserve"> Budget Consultation Timetable</w:t>
            </w:r>
          </w:p>
        </w:tc>
      </w:tr>
      <w:tr w:rsidR="002B3BBA" w:rsidRPr="00F81726" w:rsidTr="002B7914">
        <w:tc>
          <w:tcPr>
            <w:tcW w:w="6521" w:type="dxa"/>
          </w:tcPr>
          <w:p w:rsidR="002B3BBA" w:rsidRPr="00F81726" w:rsidRDefault="002B3BBA" w:rsidP="007E3CFF">
            <w:pPr>
              <w:ind w:right="386"/>
              <w:jc w:val="both"/>
            </w:pPr>
            <w:r w:rsidRPr="00F81726">
              <w:t>Consultation Budget Report to C</w:t>
            </w:r>
            <w:r w:rsidR="007E3CFF" w:rsidRPr="00F81726">
              <w:t>abinet</w:t>
            </w:r>
          </w:p>
        </w:tc>
        <w:tc>
          <w:tcPr>
            <w:tcW w:w="2412" w:type="dxa"/>
          </w:tcPr>
          <w:p w:rsidR="002B3BBA" w:rsidRPr="00F81726" w:rsidRDefault="00AD7431" w:rsidP="00F81726">
            <w:pPr>
              <w:ind w:right="386"/>
              <w:jc w:val="right"/>
            </w:pPr>
            <w:r w:rsidRPr="00F81726">
              <w:t>9</w:t>
            </w:r>
            <w:r w:rsidR="00E5571F" w:rsidRPr="00F81726">
              <w:t>th</w:t>
            </w:r>
            <w:r w:rsidR="002B3BBA" w:rsidRPr="00F81726">
              <w:t xml:space="preserve"> December </w:t>
            </w:r>
            <w:r w:rsidR="007E3CFF" w:rsidRPr="00F81726">
              <w:t>20</w:t>
            </w:r>
            <w:r w:rsidR="00F81726" w:rsidRPr="00F81726">
              <w:t>20</w:t>
            </w:r>
          </w:p>
        </w:tc>
      </w:tr>
      <w:tr w:rsidR="002B3BBA" w:rsidRPr="00F81726" w:rsidTr="002B7914">
        <w:tc>
          <w:tcPr>
            <w:tcW w:w="6521" w:type="dxa"/>
          </w:tcPr>
          <w:p w:rsidR="002B3BBA" w:rsidRPr="00F81726" w:rsidRDefault="002B3BBA" w:rsidP="00E444D2">
            <w:pPr>
              <w:ind w:right="386"/>
              <w:jc w:val="both"/>
            </w:pPr>
            <w:r w:rsidRPr="00F81726">
              <w:t>Budget Consultation Period</w:t>
            </w:r>
          </w:p>
        </w:tc>
        <w:tc>
          <w:tcPr>
            <w:tcW w:w="2412" w:type="dxa"/>
          </w:tcPr>
          <w:p w:rsidR="002B3BBA" w:rsidRPr="00F81726" w:rsidRDefault="00F81726" w:rsidP="00F81726">
            <w:pPr>
              <w:ind w:right="386"/>
              <w:jc w:val="right"/>
            </w:pPr>
            <w:r w:rsidRPr="00F81726">
              <w:t>1</w:t>
            </w:r>
            <w:r w:rsidR="00AD7431" w:rsidRPr="00F81726">
              <w:t>0</w:t>
            </w:r>
            <w:r w:rsidR="009F7FBE" w:rsidRPr="00F81726">
              <w:t>th</w:t>
            </w:r>
            <w:r w:rsidR="0069562D" w:rsidRPr="00F81726">
              <w:t xml:space="preserve"> </w:t>
            </w:r>
            <w:r w:rsidR="002B3BBA" w:rsidRPr="00F81726">
              <w:t xml:space="preserve">December to </w:t>
            </w:r>
            <w:r w:rsidR="00BD3441">
              <w:t>31</w:t>
            </w:r>
            <w:r w:rsidR="00BD3441" w:rsidRPr="00BD3441">
              <w:rPr>
                <w:vertAlign w:val="superscript"/>
              </w:rPr>
              <w:t>st</w:t>
            </w:r>
            <w:r w:rsidR="00BD3441">
              <w:t xml:space="preserve"> </w:t>
            </w:r>
            <w:r w:rsidR="002B3BBA" w:rsidRPr="00F81726">
              <w:t>January 20</w:t>
            </w:r>
            <w:r w:rsidR="00AD7431" w:rsidRPr="00F81726">
              <w:t>2</w:t>
            </w:r>
            <w:r w:rsidRPr="00F81726">
              <w:t>1</w:t>
            </w:r>
          </w:p>
        </w:tc>
      </w:tr>
      <w:tr w:rsidR="002B3BBA" w:rsidRPr="00F81726" w:rsidTr="002B7914">
        <w:tc>
          <w:tcPr>
            <w:tcW w:w="6521" w:type="dxa"/>
          </w:tcPr>
          <w:p w:rsidR="002B3BBA" w:rsidRPr="00F81726" w:rsidRDefault="002B3BBA" w:rsidP="007E3CFF">
            <w:pPr>
              <w:ind w:right="386"/>
              <w:jc w:val="both"/>
            </w:pPr>
            <w:r w:rsidRPr="00F81726">
              <w:t>Final Budget Report to C</w:t>
            </w:r>
            <w:r w:rsidR="007E3CFF" w:rsidRPr="00F81726">
              <w:t>abinet</w:t>
            </w:r>
            <w:r w:rsidRPr="00F81726">
              <w:t xml:space="preserve"> including </w:t>
            </w:r>
            <w:r w:rsidR="00506E70" w:rsidRPr="00F81726">
              <w:t>outcome of Consultation</w:t>
            </w:r>
          </w:p>
        </w:tc>
        <w:tc>
          <w:tcPr>
            <w:tcW w:w="2412" w:type="dxa"/>
          </w:tcPr>
          <w:p w:rsidR="002B3BBA" w:rsidRPr="00F81726" w:rsidRDefault="00E5571F" w:rsidP="00F81726">
            <w:pPr>
              <w:ind w:right="386"/>
              <w:jc w:val="right"/>
            </w:pPr>
            <w:r w:rsidRPr="00F81726">
              <w:t>1</w:t>
            </w:r>
            <w:r w:rsidR="00F81726" w:rsidRPr="00F81726">
              <w:t>0</w:t>
            </w:r>
            <w:r w:rsidR="00F96498" w:rsidRPr="00F81726">
              <w:t>th</w:t>
            </w:r>
            <w:r w:rsidR="0069562D" w:rsidRPr="00F81726">
              <w:t xml:space="preserve"> February 20</w:t>
            </w:r>
            <w:r w:rsidR="00AD7431" w:rsidRPr="00F81726">
              <w:t>2</w:t>
            </w:r>
            <w:r w:rsidR="00F81726" w:rsidRPr="00F81726">
              <w:t>1</w:t>
            </w:r>
          </w:p>
        </w:tc>
      </w:tr>
      <w:tr w:rsidR="002B3BBA" w:rsidRPr="00000222" w:rsidTr="002B7914">
        <w:tc>
          <w:tcPr>
            <w:tcW w:w="6521" w:type="dxa"/>
          </w:tcPr>
          <w:p w:rsidR="002B3BBA" w:rsidRPr="00F81726" w:rsidRDefault="002B3BBA" w:rsidP="00E444D2">
            <w:pPr>
              <w:ind w:right="386"/>
              <w:jc w:val="both"/>
            </w:pPr>
            <w:r w:rsidRPr="00F81726">
              <w:t>Budget approval and Council Tax Setting</w:t>
            </w:r>
            <w:r w:rsidR="007E3CFF" w:rsidRPr="00F81726">
              <w:t xml:space="preserve"> Council</w:t>
            </w:r>
          </w:p>
        </w:tc>
        <w:tc>
          <w:tcPr>
            <w:tcW w:w="2412" w:type="dxa"/>
          </w:tcPr>
          <w:p w:rsidR="002B3BBA" w:rsidRPr="00F81726" w:rsidRDefault="00E5571F" w:rsidP="00F81726">
            <w:pPr>
              <w:ind w:right="386"/>
              <w:jc w:val="right"/>
            </w:pPr>
            <w:r w:rsidRPr="00F81726">
              <w:t>1</w:t>
            </w:r>
            <w:r w:rsidR="00F81726" w:rsidRPr="00F81726">
              <w:t>7</w:t>
            </w:r>
            <w:r w:rsidR="00E70508" w:rsidRPr="00F81726">
              <w:t>th</w:t>
            </w:r>
            <w:r w:rsidR="002B3BBA" w:rsidRPr="00F81726">
              <w:t xml:space="preserve"> Febru</w:t>
            </w:r>
            <w:r w:rsidR="00E83500" w:rsidRPr="00F81726">
              <w:t>a</w:t>
            </w:r>
            <w:r w:rsidR="002B3BBA" w:rsidRPr="00F81726">
              <w:t>ry 20</w:t>
            </w:r>
            <w:r w:rsidR="00AD7431" w:rsidRPr="00F81726">
              <w:t>2</w:t>
            </w:r>
            <w:r w:rsidR="00F81726" w:rsidRPr="00F81726">
              <w:t>1</w:t>
            </w:r>
          </w:p>
        </w:tc>
      </w:tr>
    </w:tbl>
    <w:p w:rsidR="002B3BBA" w:rsidRPr="00A016EF" w:rsidRDefault="002B3BBA" w:rsidP="003A0255">
      <w:pPr>
        <w:ind w:left="720" w:right="386"/>
        <w:jc w:val="both"/>
      </w:pPr>
    </w:p>
    <w:p w:rsidR="00815874" w:rsidRPr="00A016EF" w:rsidRDefault="00A0314C" w:rsidP="007E34DD">
      <w:pPr>
        <w:pStyle w:val="ListParagraph"/>
        <w:numPr>
          <w:ilvl w:val="0"/>
          <w:numId w:val="57"/>
        </w:numPr>
        <w:ind w:left="709" w:right="386" w:hanging="709"/>
        <w:rPr>
          <w:rFonts w:cs="Arial"/>
        </w:rPr>
      </w:pPr>
      <w:r w:rsidRPr="00A016EF">
        <w:rPr>
          <w:rFonts w:cs="Arial"/>
          <w:color w:val="000000"/>
          <w:szCs w:val="22"/>
        </w:rPr>
        <w:t xml:space="preserve">The Council will </w:t>
      </w:r>
      <w:r w:rsidR="00AD7431" w:rsidRPr="00A016EF">
        <w:rPr>
          <w:rFonts w:cs="Arial"/>
          <w:color w:val="000000"/>
          <w:szCs w:val="22"/>
        </w:rPr>
        <w:t xml:space="preserve">make use of its </w:t>
      </w:r>
      <w:r w:rsidR="004C7192" w:rsidRPr="00A016EF">
        <w:rPr>
          <w:rFonts w:cs="Arial"/>
          <w:color w:val="000000"/>
          <w:szCs w:val="22"/>
        </w:rPr>
        <w:t>citizens</w:t>
      </w:r>
      <w:r w:rsidR="00E1469E" w:rsidRPr="00A016EF">
        <w:rPr>
          <w:rFonts w:cs="Arial"/>
          <w:color w:val="000000"/>
          <w:szCs w:val="22"/>
        </w:rPr>
        <w:t>’</w:t>
      </w:r>
      <w:r w:rsidR="00AD7431" w:rsidRPr="00A016EF">
        <w:rPr>
          <w:rFonts w:cs="Arial"/>
          <w:color w:val="000000"/>
          <w:szCs w:val="22"/>
        </w:rPr>
        <w:t xml:space="preserve"> </w:t>
      </w:r>
      <w:r w:rsidR="005D2EA6" w:rsidRPr="00A016EF">
        <w:rPr>
          <w:rFonts w:cs="Arial"/>
          <w:color w:val="000000"/>
          <w:szCs w:val="22"/>
        </w:rPr>
        <w:t>panel</w:t>
      </w:r>
      <w:r w:rsidR="00AD7431" w:rsidRPr="00A016EF">
        <w:rPr>
          <w:rFonts w:cs="Arial"/>
          <w:color w:val="000000"/>
          <w:szCs w:val="22"/>
        </w:rPr>
        <w:t xml:space="preserve"> as well as </w:t>
      </w:r>
      <w:r w:rsidR="00812982" w:rsidRPr="00A016EF">
        <w:rPr>
          <w:rFonts w:cs="Arial"/>
          <w:color w:val="000000"/>
          <w:szCs w:val="22"/>
        </w:rPr>
        <w:t>an online survey.</w:t>
      </w:r>
      <w:r w:rsidR="00F01CC2" w:rsidRPr="00A016EF">
        <w:rPr>
          <w:rFonts w:cs="Arial"/>
          <w:color w:val="000000"/>
          <w:szCs w:val="22"/>
        </w:rPr>
        <w:t xml:space="preserve"> </w:t>
      </w:r>
      <w:r w:rsidR="00812982" w:rsidRPr="00A016EF">
        <w:rPr>
          <w:rFonts w:cs="Arial"/>
          <w:color w:val="000000"/>
          <w:szCs w:val="22"/>
        </w:rPr>
        <w:t xml:space="preserve">The survey will be publicised in local newspapers and </w:t>
      </w:r>
      <w:r w:rsidR="007E3CFF" w:rsidRPr="00A016EF">
        <w:rPr>
          <w:rFonts w:cs="Arial"/>
          <w:color w:val="000000"/>
          <w:szCs w:val="22"/>
        </w:rPr>
        <w:t xml:space="preserve">the </w:t>
      </w:r>
      <w:r w:rsidRPr="00A016EF">
        <w:rPr>
          <w:rFonts w:cs="Arial"/>
          <w:color w:val="000000"/>
          <w:szCs w:val="22"/>
        </w:rPr>
        <w:t xml:space="preserve">budget </w:t>
      </w:r>
      <w:r w:rsidR="00812982" w:rsidRPr="00A016EF">
        <w:rPr>
          <w:rFonts w:cs="Arial"/>
          <w:color w:val="000000"/>
          <w:szCs w:val="22"/>
        </w:rPr>
        <w:t xml:space="preserve">will be shared </w:t>
      </w:r>
      <w:r w:rsidRPr="00A016EF">
        <w:rPr>
          <w:rFonts w:cs="Arial"/>
          <w:color w:val="000000"/>
          <w:szCs w:val="22"/>
        </w:rPr>
        <w:t>with other stakeholders, such as trade unions and local voluntary organisations</w:t>
      </w:r>
      <w:r w:rsidR="00812982" w:rsidRPr="00A016EF">
        <w:rPr>
          <w:rFonts w:cs="Arial"/>
          <w:color w:val="000000"/>
          <w:szCs w:val="22"/>
        </w:rPr>
        <w:t xml:space="preserve"> and businesses </w:t>
      </w:r>
      <w:r w:rsidRPr="00A016EF">
        <w:rPr>
          <w:rFonts w:cs="Arial"/>
          <w:color w:val="000000"/>
          <w:szCs w:val="22"/>
        </w:rPr>
        <w:t>for comment</w:t>
      </w:r>
      <w:r w:rsidR="00812982" w:rsidRPr="00A016EF">
        <w:rPr>
          <w:rFonts w:cs="Arial"/>
          <w:color w:val="000000"/>
          <w:szCs w:val="22"/>
        </w:rPr>
        <w:t xml:space="preserve">. </w:t>
      </w:r>
    </w:p>
    <w:p w:rsidR="00815874" w:rsidRPr="00A016EF" w:rsidRDefault="00815874" w:rsidP="0045662E">
      <w:pPr>
        <w:ind w:left="709" w:right="386" w:hanging="709"/>
        <w:rPr>
          <w:rFonts w:cs="Arial"/>
          <w:b/>
          <w:sz w:val="28"/>
          <w:szCs w:val="28"/>
        </w:rPr>
      </w:pPr>
    </w:p>
    <w:p w:rsidR="00902E5A" w:rsidRPr="00A016EF" w:rsidRDefault="00D6253A" w:rsidP="007E34DD">
      <w:pPr>
        <w:pStyle w:val="ListParagraph"/>
        <w:numPr>
          <w:ilvl w:val="0"/>
          <w:numId w:val="57"/>
        </w:numPr>
        <w:ind w:left="709" w:hanging="709"/>
        <w:rPr>
          <w:rFonts w:cs="Arial"/>
          <w:lang w:eastAsia="en-GB"/>
        </w:rPr>
      </w:pPr>
      <w:r w:rsidRPr="00A016EF">
        <w:rPr>
          <w:rFonts w:cs="Arial"/>
        </w:rPr>
        <w:t>T</w:t>
      </w:r>
      <w:r w:rsidR="00902E5A" w:rsidRPr="00A016EF">
        <w:rPr>
          <w:rFonts w:cs="Arial"/>
        </w:rPr>
        <w:t>enant</w:t>
      </w:r>
      <w:r w:rsidR="00DF0D5E" w:rsidRPr="00A016EF">
        <w:rPr>
          <w:rFonts w:cs="Arial"/>
        </w:rPr>
        <w:t>s</w:t>
      </w:r>
      <w:r w:rsidR="00902E5A" w:rsidRPr="00A016EF">
        <w:rPr>
          <w:rFonts w:cs="Arial"/>
        </w:rPr>
        <w:t xml:space="preserve"> </w:t>
      </w:r>
      <w:r w:rsidR="00DF0D5E" w:rsidRPr="00A016EF">
        <w:rPr>
          <w:rFonts w:cs="Arial"/>
        </w:rPr>
        <w:t>will be consulted on</w:t>
      </w:r>
      <w:r w:rsidR="00902E5A" w:rsidRPr="00A016EF">
        <w:rPr>
          <w:rFonts w:cs="Arial"/>
        </w:rPr>
        <w:t xml:space="preserve"> the </w:t>
      </w:r>
      <w:r w:rsidR="00902E5A" w:rsidRPr="00A016EF">
        <w:rPr>
          <w:rFonts w:cs="Arial"/>
          <w:lang w:eastAsia="en-GB"/>
        </w:rPr>
        <w:t xml:space="preserve">HRA budget </w:t>
      </w:r>
      <w:r w:rsidR="00BC5A4B" w:rsidRPr="00A016EF">
        <w:rPr>
          <w:rFonts w:cs="Arial"/>
          <w:lang w:eastAsia="en-GB"/>
        </w:rPr>
        <w:t xml:space="preserve">including </w:t>
      </w:r>
      <w:r w:rsidR="00902E5A" w:rsidRPr="00A016EF">
        <w:rPr>
          <w:rFonts w:cs="Arial"/>
          <w:lang w:eastAsia="en-GB"/>
        </w:rPr>
        <w:t>rent and service charge changes with a special resident focus group(s) and the tenant newsletter 'Tenants in Touch'.</w:t>
      </w:r>
    </w:p>
    <w:p w:rsidR="002B3BBA" w:rsidRPr="00000222" w:rsidRDefault="002B3BBA" w:rsidP="0045662E">
      <w:pPr>
        <w:ind w:left="709" w:right="386" w:hanging="709"/>
        <w:jc w:val="both"/>
        <w:rPr>
          <w:rFonts w:cs="Arial"/>
          <w:highlight w:val="yellow"/>
        </w:rPr>
      </w:pPr>
    </w:p>
    <w:p w:rsidR="002B3BBA" w:rsidRPr="00F81726" w:rsidRDefault="00506E70" w:rsidP="0045662E">
      <w:pPr>
        <w:ind w:left="709" w:right="386" w:hanging="709"/>
        <w:jc w:val="both"/>
        <w:rPr>
          <w:rFonts w:cs="Arial"/>
          <w:b/>
        </w:rPr>
      </w:pPr>
      <w:r w:rsidRPr="00F81726">
        <w:rPr>
          <w:rFonts w:cs="Arial"/>
          <w:b/>
        </w:rPr>
        <w:t>Financial Implications</w:t>
      </w:r>
    </w:p>
    <w:p w:rsidR="00C8620D" w:rsidRPr="00F81726" w:rsidRDefault="00C8620D" w:rsidP="0045662E">
      <w:pPr>
        <w:ind w:left="709" w:right="386" w:hanging="709"/>
        <w:jc w:val="both"/>
        <w:rPr>
          <w:rFonts w:cs="Arial"/>
          <w:b/>
        </w:rPr>
      </w:pPr>
    </w:p>
    <w:p w:rsidR="00506E70" w:rsidRPr="00F81726" w:rsidRDefault="00506E70" w:rsidP="007E34DD">
      <w:pPr>
        <w:pStyle w:val="ListParagraph"/>
        <w:numPr>
          <w:ilvl w:val="0"/>
          <w:numId w:val="57"/>
        </w:numPr>
        <w:ind w:left="709" w:right="386" w:hanging="709"/>
        <w:jc w:val="both"/>
      </w:pPr>
      <w:r w:rsidRPr="00F81726">
        <w:rPr>
          <w:rFonts w:cs="Arial"/>
        </w:rPr>
        <w:t>These</w:t>
      </w:r>
      <w:r w:rsidRPr="00F81726">
        <w:t xml:space="preserve"> are covered within the main body of the report</w:t>
      </w:r>
    </w:p>
    <w:p w:rsidR="00506E70" w:rsidRPr="00F81726" w:rsidRDefault="00506E70" w:rsidP="0045662E">
      <w:pPr>
        <w:ind w:left="709" w:right="386" w:hanging="709"/>
        <w:jc w:val="both"/>
      </w:pPr>
    </w:p>
    <w:p w:rsidR="00506E70" w:rsidRPr="00F81726" w:rsidRDefault="00506E70" w:rsidP="00C8620D">
      <w:pPr>
        <w:ind w:right="386"/>
        <w:jc w:val="both"/>
        <w:rPr>
          <w:b/>
        </w:rPr>
      </w:pPr>
      <w:r w:rsidRPr="00F81726">
        <w:rPr>
          <w:b/>
        </w:rPr>
        <w:t>Legal Implications</w:t>
      </w:r>
    </w:p>
    <w:p w:rsidR="00506E70" w:rsidRPr="00F81726" w:rsidRDefault="00506E70" w:rsidP="002B7914">
      <w:pPr>
        <w:ind w:left="567" w:right="386" w:hanging="567"/>
        <w:jc w:val="both"/>
      </w:pPr>
    </w:p>
    <w:p w:rsidR="00506E70" w:rsidRPr="00F81726" w:rsidRDefault="00DF0D5E" w:rsidP="007E34DD">
      <w:pPr>
        <w:pStyle w:val="ListParagraph"/>
        <w:numPr>
          <w:ilvl w:val="0"/>
          <w:numId w:val="57"/>
        </w:numPr>
        <w:ind w:left="709" w:right="386" w:hanging="709"/>
      </w:pPr>
      <w:r w:rsidRPr="00F81726">
        <w:t>The Council is required to set a balanced budget tak</w:t>
      </w:r>
      <w:r w:rsidR="004248C4" w:rsidRPr="00F81726">
        <w:t xml:space="preserve">ing </w:t>
      </w:r>
      <w:r w:rsidRPr="00F81726">
        <w:t>account of working balances and any other available reserves before the commencement of the financial year to which it relates.</w:t>
      </w:r>
      <w:r w:rsidR="00BC5A4B" w:rsidRPr="00F81726">
        <w:t xml:space="preserve"> Consultation will be undertaken with the General Public for a period of </w:t>
      </w:r>
      <w:r w:rsidR="00BD3441">
        <w:t>six</w:t>
      </w:r>
      <w:r w:rsidR="00BC5A4B" w:rsidRPr="00F81726">
        <w:t xml:space="preserve"> weeks in accordance with CIPFA Guidance.</w:t>
      </w:r>
    </w:p>
    <w:p w:rsidR="00F01CC2" w:rsidRPr="00F81726" w:rsidRDefault="00F01CC2" w:rsidP="0045662E">
      <w:pPr>
        <w:ind w:left="709" w:right="386" w:hanging="709"/>
      </w:pPr>
    </w:p>
    <w:p w:rsidR="00F01CC2" w:rsidRPr="00F81726" w:rsidRDefault="00F01CC2" w:rsidP="007E34DD">
      <w:pPr>
        <w:pStyle w:val="ListParagraph"/>
        <w:numPr>
          <w:ilvl w:val="0"/>
          <w:numId w:val="57"/>
        </w:numPr>
        <w:ind w:left="709" w:right="386" w:hanging="709"/>
      </w:pPr>
      <w:r w:rsidRPr="00F81726">
        <w:t xml:space="preserve">The Local Government Act 2000 states that it is the responsibility of the full council, on the recommendation of the executive to approve the budget and related council tax demand. </w:t>
      </w:r>
    </w:p>
    <w:p w:rsidR="00F01CC2" w:rsidRPr="00F81726" w:rsidRDefault="00F01CC2" w:rsidP="0045662E">
      <w:pPr>
        <w:ind w:left="709" w:right="386" w:hanging="709"/>
      </w:pPr>
    </w:p>
    <w:p w:rsidR="00F01CC2" w:rsidRPr="00F81726" w:rsidRDefault="00F01CC2" w:rsidP="007E34DD">
      <w:pPr>
        <w:pStyle w:val="ListParagraph"/>
        <w:numPr>
          <w:ilvl w:val="0"/>
          <w:numId w:val="57"/>
        </w:numPr>
        <w:ind w:left="709" w:right="386" w:hanging="709"/>
      </w:pPr>
      <w:r w:rsidRPr="00F81726">
        <w:t xml:space="preserve">The Local Government Act 2003, section 25 requires the </w:t>
      </w:r>
      <w:r w:rsidR="00115DCF" w:rsidRPr="00F81726">
        <w:t>C</w:t>
      </w:r>
      <w:r w:rsidRPr="00F81726">
        <w:t>ouncil’s Section151 Officer</w:t>
      </w:r>
      <w:r w:rsidRPr="00F81726">
        <w:rPr>
          <w:b/>
          <w:bCs/>
        </w:rPr>
        <w:t xml:space="preserve"> </w:t>
      </w:r>
      <w:r w:rsidRPr="00F81726">
        <w:t>to report to the council on the robustness of the estimates made and the adequacy of the proposed financial reserves assumed in the budget calculations. This will be done at Council in February 20</w:t>
      </w:r>
      <w:r w:rsidR="00115DCF" w:rsidRPr="00F81726">
        <w:t>2</w:t>
      </w:r>
      <w:r w:rsidR="00BD3441">
        <w:t>1</w:t>
      </w:r>
      <w:r w:rsidRPr="00F81726">
        <w:t xml:space="preserve"> when the Budget is approved. </w:t>
      </w:r>
    </w:p>
    <w:p w:rsidR="00F01CC2" w:rsidRPr="00F81726" w:rsidRDefault="00F01CC2" w:rsidP="0045662E">
      <w:pPr>
        <w:ind w:left="709" w:right="386" w:hanging="709"/>
      </w:pPr>
    </w:p>
    <w:p w:rsidR="00F01CC2" w:rsidRPr="00F81726" w:rsidRDefault="00F01CC2" w:rsidP="007E34DD">
      <w:pPr>
        <w:pStyle w:val="ListParagraph"/>
        <w:numPr>
          <w:ilvl w:val="0"/>
          <w:numId w:val="57"/>
        </w:numPr>
        <w:ind w:left="709" w:right="386" w:hanging="709"/>
      </w:pPr>
      <w:r w:rsidRPr="00F81726">
        <w:t xml:space="preserve">Failure to set a legal budget may lead to intervention from the Secretary of State under section 15 of the Local Government Act </w:t>
      </w:r>
      <w:r w:rsidR="004C7192" w:rsidRPr="00F81726">
        <w:t>1999.</w:t>
      </w:r>
    </w:p>
    <w:p w:rsidR="00F01CC2" w:rsidRPr="00F81726" w:rsidRDefault="00F01CC2" w:rsidP="0045662E">
      <w:pPr>
        <w:ind w:left="709" w:right="386" w:hanging="709"/>
      </w:pPr>
    </w:p>
    <w:p w:rsidR="00506E70" w:rsidRPr="00E51826" w:rsidRDefault="00184310" w:rsidP="0045662E">
      <w:pPr>
        <w:ind w:left="709" w:right="386" w:hanging="709"/>
        <w:rPr>
          <w:b/>
        </w:rPr>
      </w:pPr>
      <w:r w:rsidRPr="00E51826">
        <w:rPr>
          <w:b/>
        </w:rPr>
        <w:lastRenderedPageBreak/>
        <w:t>Ris</w:t>
      </w:r>
      <w:r w:rsidR="00506E70" w:rsidRPr="00E51826">
        <w:rPr>
          <w:b/>
        </w:rPr>
        <w:t>k Implications</w:t>
      </w:r>
    </w:p>
    <w:p w:rsidR="00C8620D" w:rsidRPr="00E51826" w:rsidRDefault="00C8620D" w:rsidP="0045662E">
      <w:pPr>
        <w:ind w:left="709" w:right="386" w:hanging="709"/>
        <w:jc w:val="both"/>
      </w:pPr>
    </w:p>
    <w:p w:rsidR="00564AEA" w:rsidRPr="00E51826" w:rsidRDefault="008B1301" w:rsidP="007E34DD">
      <w:pPr>
        <w:pStyle w:val="ListParagraph"/>
        <w:numPr>
          <w:ilvl w:val="0"/>
          <w:numId w:val="57"/>
        </w:numPr>
        <w:ind w:left="709" w:right="386" w:hanging="709"/>
        <w:jc w:val="both"/>
      </w:pPr>
      <w:r w:rsidRPr="00E51826">
        <w:t xml:space="preserve">Detailed risks are shown in </w:t>
      </w:r>
      <w:r w:rsidR="00B17F3A" w:rsidRPr="00E51826">
        <w:t xml:space="preserve">Appendix </w:t>
      </w:r>
      <w:r w:rsidR="0059228F" w:rsidRPr="00E51826">
        <w:t>8</w:t>
      </w:r>
      <w:r w:rsidR="00B17F3A" w:rsidRPr="00E51826">
        <w:t xml:space="preserve"> of the report</w:t>
      </w:r>
      <w:r w:rsidRPr="00E51826">
        <w:t xml:space="preserve">. </w:t>
      </w:r>
    </w:p>
    <w:p w:rsidR="00564AEA" w:rsidRPr="00E51826" w:rsidRDefault="00564AEA" w:rsidP="0045662E">
      <w:pPr>
        <w:pStyle w:val="ListParagraph"/>
        <w:ind w:left="709" w:right="386" w:hanging="709"/>
        <w:jc w:val="both"/>
      </w:pPr>
    </w:p>
    <w:p w:rsidR="00506E70" w:rsidRPr="0095105D" w:rsidRDefault="008B1301" w:rsidP="007E34DD">
      <w:pPr>
        <w:pStyle w:val="ListParagraph"/>
        <w:numPr>
          <w:ilvl w:val="0"/>
          <w:numId w:val="57"/>
        </w:numPr>
        <w:ind w:left="709" w:right="386" w:hanging="709"/>
        <w:jc w:val="both"/>
      </w:pPr>
      <w:r w:rsidRPr="00E51826">
        <w:t xml:space="preserve">The Oxford Model where the Council utilises returns from its wholly owned companies and other income streams to support the base budget and maintain council services has served the Council well, over the last few years. </w:t>
      </w:r>
      <w:r w:rsidR="00E51826">
        <w:t xml:space="preserve">Income to fund services provided by the Council for 2021-22 is </w:t>
      </w:r>
      <w:r w:rsidR="00E51826" w:rsidRPr="0095105D">
        <w:t>estimated at around £</w:t>
      </w:r>
      <w:r w:rsidR="0095105D" w:rsidRPr="0095105D">
        <w:t xml:space="preserve">49 million </w:t>
      </w:r>
      <w:r w:rsidR="00E51826" w:rsidRPr="0095105D">
        <w:t xml:space="preserve">with </w:t>
      </w:r>
      <w:r w:rsidR="0095105D" w:rsidRPr="0095105D">
        <w:t xml:space="preserve">£13 million coming from interest and dividends from the </w:t>
      </w:r>
      <w:proofErr w:type="gramStart"/>
      <w:r w:rsidR="0095105D" w:rsidRPr="0095105D">
        <w:t>Council</w:t>
      </w:r>
      <w:r w:rsidR="00811E2D">
        <w:t>’</w:t>
      </w:r>
      <w:r w:rsidR="0095105D" w:rsidRPr="0095105D">
        <w:t xml:space="preserve">s </w:t>
      </w:r>
      <w:r w:rsidR="00E51826" w:rsidRPr="0095105D">
        <w:t xml:space="preserve"> wholly</w:t>
      </w:r>
      <w:proofErr w:type="gramEnd"/>
      <w:r w:rsidR="00E51826" w:rsidRPr="0095105D">
        <w:t xml:space="preserve"> owned companies Oxford City Housing Ltd and Oxford Direct Services</w:t>
      </w:r>
      <w:r w:rsidR="0095105D" w:rsidRPr="0095105D">
        <w:t xml:space="preserve"> and other entities such as Oxwe</w:t>
      </w:r>
      <w:r w:rsidR="00811E2D">
        <w:t>d</w:t>
      </w:r>
      <w:r w:rsidR="00E51826" w:rsidRPr="0095105D">
        <w:t xml:space="preserve">. </w:t>
      </w:r>
    </w:p>
    <w:p w:rsidR="00E51826" w:rsidRPr="00A016EF" w:rsidRDefault="00E51826" w:rsidP="0045662E">
      <w:pPr>
        <w:pStyle w:val="ListParagraph"/>
        <w:ind w:left="709" w:hanging="709"/>
      </w:pPr>
    </w:p>
    <w:p w:rsidR="00E51826" w:rsidRPr="00A016EF" w:rsidRDefault="00E51826" w:rsidP="007E34DD">
      <w:pPr>
        <w:pStyle w:val="ListParagraph"/>
        <w:numPr>
          <w:ilvl w:val="0"/>
          <w:numId w:val="57"/>
        </w:numPr>
        <w:ind w:left="709" w:right="386" w:hanging="709"/>
        <w:jc w:val="both"/>
      </w:pPr>
      <w:r w:rsidRPr="00A016EF">
        <w:t xml:space="preserve">The pandemic, COVID 19 has resulted in a significant reduction in </w:t>
      </w:r>
      <w:r w:rsidR="00BD3441">
        <w:t>the Council’s</w:t>
      </w:r>
      <w:r w:rsidRPr="00A016EF">
        <w:t xml:space="preserve"> income streams with losses </w:t>
      </w:r>
      <w:r w:rsidR="002726C1" w:rsidRPr="00A016EF">
        <w:t xml:space="preserve">for 2020-21 estimated at £8.4 million (37% of budgeted) £5.5 million in 2021-22, £2.1 million in 2022-23 and continuing with an ongoing reduction of £2million in the base budget thereafter. To cover these income losses in resetting its budget the Council has had to use earmarked reserves resulting in the cessation of one off projects and reduced investment interest, </w:t>
      </w:r>
      <w:r w:rsidR="00A016EF" w:rsidRPr="00A016EF">
        <w:t xml:space="preserve">identify </w:t>
      </w:r>
      <w:r w:rsidR="00095085">
        <w:t xml:space="preserve">and deliver </w:t>
      </w:r>
      <w:r w:rsidR="002726C1" w:rsidRPr="00A016EF">
        <w:t xml:space="preserve">new </w:t>
      </w:r>
      <w:r w:rsidR="000833D1" w:rsidRPr="00A016EF">
        <w:t>efficiencies</w:t>
      </w:r>
      <w:r w:rsidR="002726C1" w:rsidRPr="00A016EF">
        <w:t xml:space="preserve"> and reduce spend </w:t>
      </w:r>
      <w:r w:rsidR="00A016EF" w:rsidRPr="00A016EF">
        <w:t>on council services.</w:t>
      </w:r>
      <w:r w:rsidR="002726C1" w:rsidRPr="00A016EF">
        <w:t xml:space="preserve"> </w:t>
      </w:r>
      <w:r w:rsidRPr="00A016EF">
        <w:t xml:space="preserve">                                   </w:t>
      </w:r>
    </w:p>
    <w:p w:rsidR="00E51826" w:rsidRPr="00A016EF" w:rsidRDefault="00E51826" w:rsidP="0045662E">
      <w:pPr>
        <w:pStyle w:val="ListParagraph"/>
        <w:ind w:left="709" w:hanging="709"/>
      </w:pPr>
    </w:p>
    <w:p w:rsidR="0001278A" w:rsidRPr="00A016EF" w:rsidRDefault="00A016EF" w:rsidP="007E34DD">
      <w:pPr>
        <w:pStyle w:val="ListParagraph"/>
        <w:numPr>
          <w:ilvl w:val="0"/>
          <w:numId w:val="57"/>
        </w:numPr>
        <w:ind w:left="709" w:right="386" w:hanging="709"/>
        <w:jc w:val="both"/>
      </w:pPr>
      <w:r w:rsidRPr="00A016EF">
        <w:t xml:space="preserve">The financial resilience of the Council has been tested and will continue to be tested in the coming months as the uncertainty around the financial implications continues for some time to come. A significant mitigation of this uncertainty in the ‘Oxford Model’ is reserves without which the Council would have been in a worse </w:t>
      </w:r>
      <w:r w:rsidR="0095105D">
        <w:t>financial position</w:t>
      </w:r>
      <w:r w:rsidRPr="00A016EF">
        <w:t xml:space="preserve">. </w:t>
      </w:r>
      <w:r w:rsidR="005D2EA6" w:rsidRPr="00A016EF">
        <w:t xml:space="preserve"> </w:t>
      </w:r>
    </w:p>
    <w:p w:rsidR="005D2EA6" w:rsidRPr="00000222" w:rsidRDefault="005D2EA6" w:rsidP="0045662E">
      <w:pPr>
        <w:pStyle w:val="ListParagraph"/>
        <w:ind w:left="709" w:right="386" w:hanging="709"/>
        <w:jc w:val="both"/>
        <w:rPr>
          <w:highlight w:val="yellow"/>
        </w:rPr>
      </w:pPr>
    </w:p>
    <w:p w:rsidR="00404471" w:rsidRDefault="00404471" w:rsidP="0045662E">
      <w:pPr>
        <w:ind w:left="709" w:right="386" w:hanging="709"/>
        <w:jc w:val="both"/>
        <w:rPr>
          <w:b/>
        </w:rPr>
      </w:pPr>
      <w:r w:rsidRPr="00F81726">
        <w:rPr>
          <w:b/>
        </w:rPr>
        <w:t>Equalities Impact Assessment</w:t>
      </w:r>
    </w:p>
    <w:p w:rsidR="00404471" w:rsidRPr="00F81726" w:rsidRDefault="00C8620D" w:rsidP="007E34DD">
      <w:pPr>
        <w:pStyle w:val="ListParagraph"/>
        <w:numPr>
          <w:ilvl w:val="0"/>
          <w:numId w:val="57"/>
        </w:numPr>
        <w:ind w:left="709" w:right="386" w:hanging="709"/>
        <w:jc w:val="both"/>
      </w:pPr>
      <w:r w:rsidRPr="00F81726">
        <w:t>T</w:t>
      </w:r>
      <w:r w:rsidR="00404471" w:rsidRPr="00F81726">
        <w:t xml:space="preserve">hese are shown in Appendix </w:t>
      </w:r>
      <w:r w:rsidR="0059228F" w:rsidRPr="00F81726">
        <w:t>9</w:t>
      </w:r>
      <w:r w:rsidR="00404471" w:rsidRPr="00F81726">
        <w:t xml:space="preserve"> of the report</w:t>
      </w:r>
    </w:p>
    <w:p w:rsidR="00C962C9" w:rsidRPr="00F81726" w:rsidRDefault="00C962C9" w:rsidP="00C962C9">
      <w:pPr>
        <w:pStyle w:val="ListParagraph"/>
        <w:ind w:right="386"/>
        <w:jc w:val="both"/>
      </w:pPr>
    </w:p>
    <w:p w:rsidR="00F4367A" w:rsidRDefault="00F4367A" w:rsidP="007C20F4">
      <w:pPr>
        <w:ind w:right="386" w:firstLine="540"/>
        <w:rPr>
          <w:rFonts w:cs="Arial"/>
          <w:b/>
          <w:bCs/>
          <w:sz w:val="22"/>
          <w:szCs w:val="22"/>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090985" w:rsidTr="00090985">
        <w:trPr>
          <w:cantSplit/>
          <w:trHeight w:val="396"/>
        </w:trPr>
        <w:tc>
          <w:tcPr>
            <w:tcW w:w="3969" w:type="dxa"/>
            <w:tcBorders>
              <w:top w:val="single" w:sz="8" w:space="0" w:color="000000"/>
              <w:left w:val="single" w:sz="8" w:space="0" w:color="000000"/>
              <w:bottom w:val="single" w:sz="8" w:space="0" w:color="000000"/>
              <w:right w:val="nil"/>
            </w:tcBorders>
            <w:hideMark/>
          </w:tcPr>
          <w:p w:rsidR="00090985" w:rsidRDefault="00090985">
            <w:pPr>
              <w:rPr>
                <w:b/>
                <w:lang w:eastAsia="en-GB"/>
              </w:rPr>
            </w:pPr>
            <w:r>
              <w:rPr>
                <w:b/>
              </w:rPr>
              <w:t>Report author</w:t>
            </w:r>
            <w:r>
              <w:rPr>
                <w:b/>
              </w:rPr>
              <w:t>:</w:t>
            </w:r>
          </w:p>
        </w:tc>
        <w:tc>
          <w:tcPr>
            <w:tcW w:w="4962" w:type="dxa"/>
            <w:tcBorders>
              <w:top w:val="single" w:sz="8" w:space="0" w:color="000000"/>
              <w:left w:val="nil"/>
              <w:bottom w:val="single" w:sz="8" w:space="0" w:color="000000"/>
              <w:right w:val="single" w:sz="8" w:space="0" w:color="000000"/>
            </w:tcBorders>
            <w:hideMark/>
          </w:tcPr>
          <w:p w:rsidR="00090985" w:rsidRDefault="00090985">
            <w:r>
              <w:t>Nigel Kennedy</w:t>
            </w:r>
          </w:p>
        </w:tc>
      </w:tr>
      <w:tr w:rsidR="00090985" w:rsidTr="00090985">
        <w:trPr>
          <w:cantSplit/>
          <w:trHeight w:val="396"/>
        </w:trPr>
        <w:tc>
          <w:tcPr>
            <w:tcW w:w="3969" w:type="dxa"/>
            <w:tcBorders>
              <w:top w:val="single" w:sz="8" w:space="0" w:color="000000"/>
              <w:left w:val="single" w:sz="8" w:space="0" w:color="000000"/>
              <w:bottom w:val="nil"/>
              <w:right w:val="nil"/>
            </w:tcBorders>
            <w:hideMark/>
          </w:tcPr>
          <w:p w:rsidR="00090985" w:rsidRDefault="00090985">
            <w:r>
              <w:t>Job title</w:t>
            </w:r>
          </w:p>
        </w:tc>
        <w:tc>
          <w:tcPr>
            <w:tcW w:w="4962" w:type="dxa"/>
            <w:tcBorders>
              <w:top w:val="single" w:sz="8" w:space="0" w:color="000000"/>
              <w:left w:val="nil"/>
              <w:bottom w:val="nil"/>
              <w:right w:val="single" w:sz="8" w:space="0" w:color="000000"/>
            </w:tcBorders>
            <w:hideMark/>
          </w:tcPr>
          <w:p w:rsidR="00090985" w:rsidRDefault="00090985">
            <w:r>
              <w:t>Head of Financial Services</w:t>
            </w:r>
          </w:p>
        </w:tc>
      </w:tr>
      <w:tr w:rsidR="00090985" w:rsidTr="00090985">
        <w:trPr>
          <w:cantSplit/>
          <w:trHeight w:val="396"/>
        </w:trPr>
        <w:tc>
          <w:tcPr>
            <w:tcW w:w="3969" w:type="dxa"/>
            <w:tcBorders>
              <w:top w:val="nil"/>
              <w:left w:val="single" w:sz="8" w:space="0" w:color="000000"/>
              <w:bottom w:val="nil"/>
              <w:right w:val="nil"/>
            </w:tcBorders>
            <w:hideMark/>
          </w:tcPr>
          <w:p w:rsidR="00090985" w:rsidRDefault="00090985">
            <w:r>
              <w:t xml:space="preserve">Telephone </w:t>
            </w:r>
          </w:p>
        </w:tc>
        <w:tc>
          <w:tcPr>
            <w:tcW w:w="4962" w:type="dxa"/>
            <w:tcBorders>
              <w:top w:val="nil"/>
              <w:left w:val="nil"/>
              <w:bottom w:val="nil"/>
              <w:right w:val="single" w:sz="8" w:space="0" w:color="000000"/>
            </w:tcBorders>
            <w:hideMark/>
          </w:tcPr>
          <w:p w:rsidR="00090985" w:rsidRDefault="00090985" w:rsidP="00090985">
            <w:r>
              <w:t xml:space="preserve">  </w:t>
            </w:r>
            <w:r w:rsidRPr="00F81726">
              <w:t xml:space="preserve">01865 252708  </w:t>
            </w:r>
          </w:p>
        </w:tc>
      </w:tr>
      <w:tr w:rsidR="00090985" w:rsidTr="00090985">
        <w:trPr>
          <w:cantSplit/>
          <w:trHeight w:val="396"/>
        </w:trPr>
        <w:tc>
          <w:tcPr>
            <w:tcW w:w="3969" w:type="dxa"/>
            <w:tcBorders>
              <w:top w:val="nil"/>
              <w:left w:val="single" w:sz="8" w:space="0" w:color="000000"/>
              <w:bottom w:val="single" w:sz="8" w:space="0" w:color="000000"/>
              <w:right w:val="nil"/>
            </w:tcBorders>
            <w:hideMark/>
          </w:tcPr>
          <w:p w:rsidR="00090985" w:rsidRDefault="00090985">
            <w:r>
              <w:t xml:space="preserve">e-mail </w:t>
            </w:r>
          </w:p>
        </w:tc>
        <w:tc>
          <w:tcPr>
            <w:tcW w:w="4962" w:type="dxa"/>
            <w:tcBorders>
              <w:top w:val="nil"/>
              <w:left w:val="nil"/>
              <w:bottom w:val="single" w:sz="8" w:space="0" w:color="000000"/>
              <w:right w:val="single" w:sz="8" w:space="0" w:color="000000"/>
            </w:tcBorders>
            <w:hideMark/>
          </w:tcPr>
          <w:p w:rsidR="00090985" w:rsidRDefault="00090985" w:rsidP="00090985">
            <w:pPr>
              <w:rPr>
                <w:rStyle w:val="Hyperlink"/>
              </w:rPr>
            </w:pPr>
            <w:bookmarkStart w:id="0" w:name="_GoBack"/>
            <w:bookmarkEnd w:id="0"/>
            <w:r w:rsidRPr="00F81726">
              <w:t xml:space="preserve">nkennedy@oxford.gov.uk  </w:t>
            </w:r>
          </w:p>
        </w:tc>
      </w:tr>
    </w:tbl>
    <w:p w:rsidR="00090985" w:rsidRPr="00F81726" w:rsidRDefault="00090985" w:rsidP="007C20F4">
      <w:pPr>
        <w:ind w:right="386" w:firstLine="540"/>
        <w:rPr>
          <w:rFonts w:cs="Arial"/>
          <w:b/>
          <w:bCs/>
          <w:sz w:val="22"/>
          <w:szCs w:val="22"/>
        </w:rPr>
      </w:pPr>
    </w:p>
    <w:sectPr w:rsidR="00090985" w:rsidRPr="00F81726" w:rsidSect="00A041EC">
      <w:footerReference w:type="default" r:id="rId17"/>
      <w:pgSz w:w="11906" w:h="16838"/>
      <w:pgMar w:top="1440" w:right="720" w:bottom="1440" w:left="1560" w:header="708" w:footer="6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512" w:rsidRDefault="00633512">
      <w:r>
        <w:separator/>
      </w:r>
    </w:p>
  </w:endnote>
  <w:endnote w:type="continuationSeparator" w:id="0">
    <w:p w:rsidR="00633512" w:rsidRDefault="00633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FS Me">
    <w:altName w:val="FS Me"/>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C03" w:rsidRPr="001D016D" w:rsidRDefault="00597C03" w:rsidP="001D016D">
    <w:pPr>
      <w:pStyle w:val="Footer"/>
      <w:jc w:val="right"/>
      <w:rPr>
        <w:sz w:val="16"/>
        <w:szCs w:val="16"/>
      </w:rPr>
    </w:pPr>
    <w:r w:rsidRPr="001D016D">
      <w:rPr>
        <w:sz w:val="16"/>
        <w:szCs w:val="16"/>
      </w:rPr>
      <w:t xml:space="preserve">Page </w:t>
    </w:r>
    <w:r w:rsidRPr="001D016D">
      <w:rPr>
        <w:sz w:val="16"/>
        <w:szCs w:val="16"/>
      </w:rPr>
      <w:fldChar w:fldCharType="begin"/>
    </w:r>
    <w:r w:rsidRPr="001D016D">
      <w:rPr>
        <w:sz w:val="16"/>
        <w:szCs w:val="16"/>
      </w:rPr>
      <w:instrText xml:space="preserve"> PAGE </w:instrText>
    </w:r>
    <w:r w:rsidRPr="001D016D">
      <w:rPr>
        <w:sz w:val="16"/>
        <w:szCs w:val="16"/>
      </w:rPr>
      <w:fldChar w:fldCharType="separate"/>
    </w:r>
    <w:r w:rsidR="00090985">
      <w:rPr>
        <w:noProof/>
        <w:sz w:val="16"/>
        <w:szCs w:val="16"/>
      </w:rPr>
      <w:t>2</w:t>
    </w:r>
    <w:r w:rsidRPr="001D016D">
      <w:rPr>
        <w:sz w:val="16"/>
        <w:szCs w:val="16"/>
      </w:rPr>
      <w:fldChar w:fldCharType="end"/>
    </w:r>
    <w:r w:rsidRPr="001D016D">
      <w:rPr>
        <w:sz w:val="16"/>
        <w:szCs w:val="16"/>
      </w:rPr>
      <w:t xml:space="preserve"> of </w:t>
    </w:r>
    <w:r w:rsidRPr="001D016D">
      <w:rPr>
        <w:sz w:val="16"/>
        <w:szCs w:val="16"/>
      </w:rPr>
      <w:fldChar w:fldCharType="begin"/>
    </w:r>
    <w:r w:rsidRPr="001D016D">
      <w:rPr>
        <w:sz w:val="16"/>
        <w:szCs w:val="16"/>
      </w:rPr>
      <w:instrText xml:space="preserve"> NUMPAGES </w:instrText>
    </w:r>
    <w:r w:rsidRPr="001D016D">
      <w:rPr>
        <w:sz w:val="16"/>
        <w:szCs w:val="16"/>
      </w:rPr>
      <w:fldChar w:fldCharType="separate"/>
    </w:r>
    <w:r w:rsidR="00090985">
      <w:rPr>
        <w:noProof/>
        <w:sz w:val="16"/>
        <w:szCs w:val="16"/>
      </w:rPr>
      <w:t>39</w:t>
    </w:r>
    <w:r w:rsidRPr="001D016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512" w:rsidRDefault="00633512">
      <w:r>
        <w:separator/>
      </w:r>
    </w:p>
  </w:footnote>
  <w:footnote w:type="continuationSeparator" w:id="0">
    <w:p w:rsidR="00633512" w:rsidRDefault="006335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35E2"/>
    <w:multiLevelType w:val="hybridMultilevel"/>
    <w:tmpl w:val="AC3E6A02"/>
    <w:lvl w:ilvl="0" w:tplc="C608DA7A">
      <w:start w:val="26"/>
      <w:numFmt w:val="decimal"/>
      <w:lvlText w:val="%1."/>
      <w:lvlJc w:val="left"/>
      <w:pPr>
        <w:ind w:left="7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5422D"/>
    <w:multiLevelType w:val="hybridMultilevel"/>
    <w:tmpl w:val="22AC94E0"/>
    <w:lvl w:ilvl="0" w:tplc="633A3142">
      <w:start w:val="1"/>
      <w:numFmt w:val="lowerLetter"/>
      <w:lvlText w:val="%1)"/>
      <w:lvlJc w:val="left"/>
      <w:pPr>
        <w:ind w:left="1440" w:hanging="360"/>
      </w:pPr>
      <w:rPr>
        <w:rFonts w:hint="default"/>
      </w:rPr>
    </w:lvl>
    <w:lvl w:ilvl="1" w:tplc="08090003">
      <w:start w:val="1"/>
      <w:numFmt w:val="bullet"/>
      <w:lvlText w:val="o"/>
      <w:lvlJc w:val="left"/>
      <w:pPr>
        <w:ind w:left="2771"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DE1E1A"/>
    <w:multiLevelType w:val="hybridMultilevel"/>
    <w:tmpl w:val="82C2F1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F76A29"/>
    <w:multiLevelType w:val="multilevel"/>
    <w:tmpl w:val="5704AA1A"/>
    <w:lvl w:ilvl="0">
      <w:start w:val="1"/>
      <w:numFmt w:val="decimal"/>
      <w:pStyle w:val="Level1"/>
      <w:lvlText w:val="%1."/>
      <w:lvlJc w:val="left"/>
      <w:pPr>
        <w:tabs>
          <w:tab w:val="num" w:pos="1341"/>
        </w:tabs>
        <w:ind w:left="1341" w:hanging="1200"/>
      </w:pPr>
      <w:rPr>
        <w:b w:val="0"/>
        <w:i w:val="0"/>
        <w:caps w:val="0"/>
        <w:strike w:val="0"/>
        <w:dstrike w:val="0"/>
        <w:vanish w:val="0"/>
        <w:webHidden w:val="0"/>
        <w:color w:val="0071BD"/>
        <w:sz w:val="3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200"/>
        </w:tabs>
        <w:ind w:left="1200" w:hanging="1200"/>
      </w:pPr>
    </w:lvl>
    <w:lvl w:ilvl="2">
      <w:start w:val="1"/>
      <w:numFmt w:val="decimal"/>
      <w:lvlText w:val="%1.%2.%3."/>
      <w:lvlJc w:val="left"/>
      <w:pPr>
        <w:tabs>
          <w:tab w:val="num" w:pos="1200"/>
        </w:tabs>
        <w:ind w:left="1200" w:hanging="1200"/>
      </w:pPr>
      <w:rPr>
        <w:b w:val="0"/>
        <w:i w:val="0"/>
        <w:caps w:val="0"/>
        <w:strike w:val="0"/>
        <w:dstrike w:val="0"/>
        <w:vanish w:val="0"/>
        <w:webHidden w:val="0"/>
        <w:color w:val="323232"/>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800"/>
        </w:tabs>
        <w:ind w:left="800" w:hanging="400"/>
      </w:pPr>
      <w:rPr>
        <w:rFonts w:ascii="Symbol" w:hAnsi="Symbol" w:hint="default"/>
        <w:color w:val="auto"/>
      </w:r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 w15:restartNumberingAfterBreak="0">
    <w:nsid w:val="03910C79"/>
    <w:multiLevelType w:val="hybridMultilevel"/>
    <w:tmpl w:val="7354D52C"/>
    <w:lvl w:ilvl="0" w:tplc="144AA1AE">
      <w:start w:val="96"/>
      <w:numFmt w:val="decimal"/>
      <w:lvlText w:val="%1."/>
      <w:lvlJc w:val="left"/>
      <w:pPr>
        <w:ind w:left="144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D63462"/>
    <w:multiLevelType w:val="hybridMultilevel"/>
    <w:tmpl w:val="C21420DA"/>
    <w:lvl w:ilvl="0" w:tplc="9732C1EC">
      <w:start w:val="38"/>
      <w:numFmt w:val="decimal"/>
      <w:lvlText w:val="%1."/>
      <w:lvlJc w:val="left"/>
      <w:pPr>
        <w:ind w:left="108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7D1F0F"/>
    <w:multiLevelType w:val="hybridMultilevel"/>
    <w:tmpl w:val="8F566F30"/>
    <w:lvl w:ilvl="0" w:tplc="08090017">
      <w:start w:val="1"/>
      <w:numFmt w:val="lowerLetter"/>
      <w:lvlText w:val="%1)"/>
      <w:lvlJc w:val="left"/>
      <w:pPr>
        <w:tabs>
          <w:tab w:val="num" w:pos="1495"/>
        </w:tabs>
        <w:ind w:left="1495" w:hanging="360"/>
      </w:pPr>
      <w:rPr>
        <w:rFonts w:hint="default"/>
      </w:rPr>
    </w:lvl>
    <w:lvl w:ilvl="1" w:tplc="08090003" w:tentative="1">
      <w:start w:val="1"/>
      <w:numFmt w:val="bullet"/>
      <w:lvlText w:val="o"/>
      <w:lvlJc w:val="left"/>
      <w:pPr>
        <w:tabs>
          <w:tab w:val="num" w:pos="2215"/>
        </w:tabs>
        <w:ind w:left="2215" w:hanging="360"/>
      </w:pPr>
      <w:rPr>
        <w:rFonts w:ascii="Courier New" w:hAnsi="Courier New" w:cs="Courier New" w:hint="default"/>
      </w:rPr>
    </w:lvl>
    <w:lvl w:ilvl="2" w:tplc="08090005" w:tentative="1">
      <w:start w:val="1"/>
      <w:numFmt w:val="bullet"/>
      <w:lvlText w:val=""/>
      <w:lvlJc w:val="left"/>
      <w:pPr>
        <w:tabs>
          <w:tab w:val="num" w:pos="2935"/>
        </w:tabs>
        <w:ind w:left="2935" w:hanging="360"/>
      </w:pPr>
      <w:rPr>
        <w:rFonts w:ascii="Wingdings" w:hAnsi="Wingdings" w:hint="default"/>
      </w:rPr>
    </w:lvl>
    <w:lvl w:ilvl="3" w:tplc="08090001" w:tentative="1">
      <w:start w:val="1"/>
      <w:numFmt w:val="bullet"/>
      <w:lvlText w:val=""/>
      <w:lvlJc w:val="left"/>
      <w:pPr>
        <w:tabs>
          <w:tab w:val="num" w:pos="3655"/>
        </w:tabs>
        <w:ind w:left="3655" w:hanging="360"/>
      </w:pPr>
      <w:rPr>
        <w:rFonts w:ascii="Symbol" w:hAnsi="Symbol" w:hint="default"/>
      </w:rPr>
    </w:lvl>
    <w:lvl w:ilvl="4" w:tplc="08090003" w:tentative="1">
      <w:start w:val="1"/>
      <w:numFmt w:val="bullet"/>
      <w:lvlText w:val="o"/>
      <w:lvlJc w:val="left"/>
      <w:pPr>
        <w:tabs>
          <w:tab w:val="num" w:pos="4375"/>
        </w:tabs>
        <w:ind w:left="4375" w:hanging="360"/>
      </w:pPr>
      <w:rPr>
        <w:rFonts w:ascii="Courier New" w:hAnsi="Courier New" w:cs="Courier New" w:hint="default"/>
      </w:rPr>
    </w:lvl>
    <w:lvl w:ilvl="5" w:tplc="08090005" w:tentative="1">
      <w:start w:val="1"/>
      <w:numFmt w:val="bullet"/>
      <w:lvlText w:val=""/>
      <w:lvlJc w:val="left"/>
      <w:pPr>
        <w:tabs>
          <w:tab w:val="num" w:pos="5095"/>
        </w:tabs>
        <w:ind w:left="5095" w:hanging="360"/>
      </w:pPr>
      <w:rPr>
        <w:rFonts w:ascii="Wingdings" w:hAnsi="Wingdings" w:hint="default"/>
      </w:rPr>
    </w:lvl>
    <w:lvl w:ilvl="6" w:tplc="08090001" w:tentative="1">
      <w:start w:val="1"/>
      <w:numFmt w:val="bullet"/>
      <w:lvlText w:val=""/>
      <w:lvlJc w:val="left"/>
      <w:pPr>
        <w:tabs>
          <w:tab w:val="num" w:pos="5815"/>
        </w:tabs>
        <w:ind w:left="5815" w:hanging="360"/>
      </w:pPr>
      <w:rPr>
        <w:rFonts w:ascii="Symbol" w:hAnsi="Symbol" w:hint="default"/>
      </w:rPr>
    </w:lvl>
    <w:lvl w:ilvl="7" w:tplc="08090003" w:tentative="1">
      <w:start w:val="1"/>
      <w:numFmt w:val="bullet"/>
      <w:lvlText w:val="o"/>
      <w:lvlJc w:val="left"/>
      <w:pPr>
        <w:tabs>
          <w:tab w:val="num" w:pos="6535"/>
        </w:tabs>
        <w:ind w:left="6535" w:hanging="360"/>
      </w:pPr>
      <w:rPr>
        <w:rFonts w:ascii="Courier New" w:hAnsi="Courier New" w:cs="Courier New" w:hint="default"/>
      </w:rPr>
    </w:lvl>
    <w:lvl w:ilvl="8" w:tplc="08090005" w:tentative="1">
      <w:start w:val="1"/>
      <w:numFmt w:val="bullet"/>
      <w:lvlText w:val=""/>
      <w:lvlJc w:val="left"/>
      <w:pPr>
        <w:tabs>
          <w:tab w:val="num" w:pos="7255"/>
        </w:tabs>
        <w:ind w:left="7255" w:hanging="360"/>
      </w:pPr>
      <w:rPr>
        <w:rFonts w:ascii="Wingdings" w:hAnsi="Wingdings" w:hint="default"/>
      </w:rPr>
    </w:lvl>
  </w:abstractNum>
  <w:abstractNum w:abstractNumId="7" w15:restartNumberingAfterBreak="0">
    <w:nsid w:val="08D15BE1"/>
    <w:multiLevelType w:val="hybridMultilevel"/>
    <w:tmpl w:val="E054921E"/>
    <w:lvl w:ilvl="0" w:tplc="08090017">
      <w:start w:val="1"/>
      <w:numFmt w:val="lowerLetter"/>
      <w:lvlText w:val="%1)"/>
      <w:lvlJc w:val="left"/>
      <w:pPr>
        <w:ind w:left="744" w:hanging="360"/>
      </w:pPr>
      <w:rPr>
        <w:rFonts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8" w15:restartNumberingAfterBreak="0">
    <w:nsid w:val="0A1A25D9"/>
    <w:multiLevelType w:val="hybridMultilevel"/>
    <w:tmpl w:val="66A656FC"/>
    <w:lvl w:ilvl="0" w:tplc="46300EC6">
      <w:start w:val="19"/>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813975"/>
    <w:multiLevelType w:val="hybridMultilevel"/>
    <w:tmpl w:val="D54C7C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A8C530E"/>
    <w:multiLevelType w:val="hybridMultilevel"/>
    <w:tmpl w:val="310AA22A"/>
    <w:lvl w:ilvl="0" w:tplc="AB72B018">
      <w:start w:val="15"/>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B125D2A"/>
    <w:multiLevelType w:val="hybridMultilevel"/>
    <w:tmpl w:val="D66C97E8"/>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0A37DEE"/>
    <w:multiLevelType w:val="hybridMultilevel"/>
    <w:tmpl w:val="B038EFAA"/>
    <w:lvl w:ilvl="0" w:tplc="08090017">
      <w:start w:val="1"/>
      <w:numFmt w:val="lowerLetter"/>
      <w:lvlText w:val="%1)"/>
      <w:lvlJc w:val="left"/>
      <w:pPr>
        <w:tabs>
          <w:tab w:val="num" w:pos="1080"/>
        </w:tabs>
        <w:ind w:left="1080" w:hanging="360"/>
      </w:pPr>
      <w:rPr>
        <w:rFonts w:hint="default"/>
        <w:color w:val="000080"/>
      </w:rPr>
    </w:lvl>
    <w:lvl w:ilvl="1" w:tplc="08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2613F5F"/>
    <w:multiLevelType w:val="hybridMultilevel"/>
    <w:tmpl w:val="AF221D52"/>
    <w:lvl w:ilvl="0" w:tplc="08090017">
      <w:start w:val="1"/>
      <w:numFmt w:val="lowerLetter"/>
      <w:lvlText w:val="%1)"/>
      <w:lvlJc w:val="left"/>
      <w:pPr>
        <w:ind w:left="2237" w:hanging="360"/>
      </w:pPr>
      <w:rPr>
        <w:rFonts w:hint="default"/>
      </w:rPr>
    </w:lvl>
    <w:lvl w:ilvl="1" w:tplc="08090003">
      <w:start w:val="1"/>
      <w:numFmt w:val="bullet"/>
      <w:lvlText w:val="o"/>
      <w:lvlJc w:val="left"/>
      <w:pPr>
        <w:ind w:left="2957" w:hanging="360"/>
      </w:pPr>
      <w:rPr>
        <w:rFonts w:ascii="Courier New" w:hAnsi="Courier New" w:cs="Courier New" w:hint="default"/>
      </w:rPr>
    </w:lvl>
    <w:lvl w:ilvl="2" w:tplc="08090005" w:tentative="1">
      <w:start w:val="1"/>
      <w:numFmt w:val="bullet"/>
      <w:lvlText w:val=""/>
      <w:lvlJc w:val="left"/>
      <w:pPr>
        <w:ind w:left="3677" w:hanging="360"/>
      </w:pPr>
      <w:rPr>
        <w:rFonts w:ascii="Wingdings" w:hAnsi="Wingdings" w:hint="default"/>
      </w:rPr>
    </w:lvl>
    <w:lvl w:ilvl="3" w:tplc="08090001" w:tentative="1">
      <w:start w:val="1"/>
      <w:numFmt w:val="bullet"/>
      <w:lvlText w:val=""/>
      <w:lvlJc w:val="left"/>
      <w:pPr>
        <w:ind w:left="4397" w:hanging="360"/>
      </w:pPr>
      <w:rPr>
        <w:rFonts w:ascii="Symbol" w:hAnsi="Symbol" w:hint="default"/>
      </w:rPr>
    </w:lvl>
    <w:lvl w:ilvl="4" w:tplc="08090003" w:tentative="1">
      <w:start w:val="1"/>
      <w:numFmt w:val="bullet"/>
      <w:lvlText w:val="o"/>
      <w:lvlJc w:val="left"/>
      <w:pPr>
        <w:ind w:left="5117" w:hanging="360"/>
      </w:pPr>
      <w:rPr>
        <w:rFonts w:ascii="Courier New" w:hAnsi="Courier New" w:cs="Courier New" w:hint="default"/>
      </w:rPr>
    </w:lvl>
    <w:lvl w:ilvl="5" w:tplc="08090005" w:tentative="1">
      <w:start w:val="1"/>
      <w:numFmt w:val="bullet"/>
      <w:lvlText w:val=""/>
      <w:lvlJc w:val="left"/>
      <w:pPr>
        <w:ind w:left="5837" w:hanging="360"/>
      </w:pPr>
      <w:rPr>
        <w:rFonts w:ascii="Wingdings" w:hAnsi="Wingdings" w:hint="default"/>
      </w:rPr>
    </w:lvl>
    <w:lvl w:ilvl="6" w:tplc="08090001" w:tentative="1">
      <w:start w:val="1"/>
      <w:numFmt w:val="bullet"/>
      <w:lvlText w:val=""/>
      <w:lvlJc w:val="left"/>
      <w:pPr>
        <w:ind w:left="6557" w:hanging="360"/>
      </w:pPr>
      <w:rPr>
        <w:rFonts w:ascii="Symbol" w:hAnsi="Symbol" w:hint="default"/>
      </w:rPr>
    </w:lvl>
    <w:lvl w:ilvl="7" w:tplc="08090003" w:tentative="1">
      <w:start w:val="1"/>
      <w:numFmt w:val="bullet"/>
      <w:lvlText w:val="o"/>
      <w:lvlJc w:val="left"/>
      <w:pPr>
        <w:ind w:left="7277" w:hanging="360"/>
      </w:pPr>
      <w:rPr>
        <w:rFonts w:ascii="Courier New" w:hAnsi="Courier New" w:cs="Courier New" w:hint="default"/>
      </w:rPr>
    </w:lvl>
    <w:lvl w:ilvl="8" w:tplc="08090005" w:tentative="1">
      <w:start w:val="1"/>
      <w:numFmt w:val="bullet"/>
      <w:lvlText w:val=""/>
      <w:lvlJc w:val="left"/>
      <w:pPr>
        <w:ind w:left="7997" w:hanging="360"/>
      </w:pPr>
      <w:rPr>
        <w:rFonts w:ascii="Wingdings" w:hAnsi="Wingdings" w:hint="default"/>
      </w:rPr>
    </w:lvl>
  </w:abstractNum>
  <w:abstractNum w:abstractNumId="14" w15:restartNumberingAfterBreak="0">
    <w:nsid w:val="12AF7518"/>
    <w:multiLevelType w:val="hybridMultilevel"/>
    <w:tmpl w:val="FAA2BC2C"/>
    <w:lvl w:ilvl="0" w:tplc="52121438">
      <w:start w:val="46"/>
      <w:numFmt w:val="decimal"/>
      <w:lvlText w:val="%1."/>
      <w:lvlJc w:val="left"/>
      <w:pPr>
        <w:ind w:left="108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00488B"/>
    <w:multiLevelType w:val="multilevel"/>
    <w:tmpl w:val="A004432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8D0A08"/>
    <w:multiLevelType w:val="multilevel"/>
    <w:tmpl w:val="23527B54"/>
    <w:lvl w:ilvl="0">
      <w:start w:val="1"/>
      <w:numFmt w:val="lowerLetter"/>
      <w:lvlText w:val="%1)"/>
      <w:lvlJc w:val="left"/>
      <w:pPr>
        <w:tabs>
          <w:tab w:val="num" w:pos="1778"/>
        </w:tabs>
        <w:ind w:left="1778" w:hanging="360"/>
      </w:pPr>
      <w:rPr>
        <w:rFonts w:hint="default"/>
        <w:sz w:val="20"/>
      </w:rPr>
    </w:lvl>
    <w:lvl w:ilvl="1">
      <w:start w:val="1"/>
      <w:numFmt w:val="bullet"/>
      <w:lvlText w:val=""/>
      <w:lvlJc w:val="left"/>
      <w:pPr>
        <w:tabs>
          <w:tab w:val="num" w:pos="2498"/>
        </w:tabs>
        <w:ind w:left="2498" w:hanging="360"/>
      </w:pPr>
      <w:rPr>
        <w:rFonts w:ascii="Symbol" w:hAnsi="Symbol" w:hint="default"/>
        <w:sz w:val="20"/>
      </w:rPr>
    </w:lvl>
    <w:lvl w:ilvl="2">
      <w:start w:val="1"/>
      <w:numFmt w:val="bullet"/>
      <w:lvlText w:val=""/>
      <w:lvlJc w:val="left"/>
      <w:pPr>
        <w:tabs>
          <w:tab w:val="num" w:pos="3218"/>
        </w:tabs>
        <w:ind w:left="3218" w:hanging="360"/>
      </w:pPr>
      <w:rPr>
        <w:rFonts w:ascii="Symbol" w:hAnsi="Symbol" w:hint="default"/>
        <w:sz w:val="20"/>
      </w:rPr>
    </w:lvl>
    <w:lvl w:ilvl="3">
      <w:start w:val="1"/>
      <w:numFmt w:val="bullet"/>
      <w:lvlText w:val=""/>
      <w:lvlJc w:val="left"/>
      <w:pPr>
        <w:tabs>
          <w:tab w:val="num" w:pos="3938"/>
        </w:tabs>
        <w:ind w:left="3938" w:hanging="360"/>
      </w:pPr>
      <w:rPr>
        <w:rFonts w:ascii="Symbol" w:hAnsi="Symbol" w:hint="default"/>
        <w:sz w:val="20"/>
      </w:rPr>
    </w:lvl>
    <w:lvl w:ilvl="4">
      <w:start w:val="1"/>
      <w:numFmt w:val="bullet"/>
      <w:lvlText w:val=""/>
      <w:lvlJc w:val="left"/>
      <w:pPr>
        <w:tabs>
          <w:tab w:val="num" w:pos="4658"/>
        </w:tabs>
        <w:ind w:left="4658" w:hanging="360"/>
      </w:pPr>
      <w:rPr>
        <w:rFonts w:ascii="Symbol" w:hAnsi="Symbol" w:hint="default"/>
        <w:sz w:val="20"/>
      </w:rPr>
    </w:lvl>
    <w:lvl w:ilvl="5">
      <w:start w:val="1"/>
      <w:numFmt w:val="bullet"/>
      <w:lvlText w:val=""/>
      <w:lvlJc w:val="left"/>
      <w:pPr>
        <w:tabs>
          <w:tab w:val="num" w:pos="5378"/>
        </w:tabs>
        <w:ind w:left="5378" w:hanging="360"/>
      </w:pPr>
      <w:rPr>
        <w:rFonts w:ascii="Symbol" w:hAnsi="Symbol" w:hint="default"/>
        <w:sz w:val="20"/>
      </w:rPr>
    </w:lvl>
    <w:lvl w:ilvl="6">
      <w:start w:val="1"/>
      <w:numFmt w:val="bullet"/>
      <w:lvlText w:val=""/>
      <w:lvlJc w:val="left"/>
      <w:pPr>
        <w:tabs>
          <w:tab w:val="num" w:pos="6098"/>
        </w:tabs>
        <w:ind w:left="6098" w:hanging="360"/>
      </w:pPr>
      <w:rPr>
        <w:rFonts w:ascii="Symbol" w:hAnsi="Symbol" w:hint="default"/>
        <w:sz w:val="20"/>
      </w:rPr>
    </w:lvl>
    <w:lvl w:ilvl="7">
      <w:start w:val="1"/>
      <w:numFmt w:val="bullet"/>
      <w:lvlText w:val=""/>
      <w:lvlJc w:val="left"/>
      <w:pPr>
        <w:tabs>
          <w:tab w:val="num" w:pos="6818"/>
        </w:tabs>
        <w:ind w:left="6818" w:hanging="360"/>
      </w:pPr>
      <w:rPr>
        <w:rFonts w:ascii="Symbol" w:hAnsi="Symbol" w:hint="default"/>
        <w:sz w:val="20"/>
      </w:rPr>
    </w:lvl>
    <w:lvl w:ilvl="8">
      <w:start w:val="1"/>
      <w:numFmt w:val="bullet"/>
      <w:lvlText w:val=""/>
      <w:lvlJc w:val="left"/>
      <w:pPr>
        <w:tabs>
          <w:tab w:val="num" w:pos="7538"/>
        </w:tabs>
        <w:ind w:left="7538" w:hanging="360"/>
      </w:pPr>
      <w:rPr>
        <w:rFonts w:ascii="Symbol" w:hAnsi="Symbol" w:hint="default"/>
        <w:sz w:val="20"/>
      </w:rPr>
    </w:lvl>
  </w:abstractNum>
  <w:abstractNum w:abstractNumId="17" w15:restartNumberingAfterBreak="0">
    <w:nsid w:val="1C565925"/>
    <w:multiLevelType w:val="multilevel"/>
    <w:tmpl w:val="E60884E2"/>
    <w:lvl w:ilvl="0">
      <w:start w:val="1"/>
      <w:numFmt w:val="decimal"/>
      <w:lvlText w:val="%1."/>
      <w:lvlJc w:val="left"/>
      <w:pPr>
        <w:tabs>
          <w:tab w:val="num" w:pos="576"/>
        </w:tabs>
        <w:ind w:left="576" w:hanging="576"/>
      </w:pPr>
      <w:rPr>
        <w:rFonts w:hint="default"/>
      </w:rPr>
    </w:lvl>
    <w:lvl w:ilvl="1">
      <w:start w:val="1"/>
      <w:numFmt w:val="decimal"/>
      <w:pStyle w:val="ReportPara"/>
      <w:lvlText w:val="%1.%2."/>
      <w:lvlJc w:val="left"/>
      <w:pPr>
        <w:tabs>
          <w:tab w:val="num" w:pos="1702"/>
        </w:tabs>
        <w:ind w:left="1702" w:hanging="1134"/>
      </w:pPr>
      <w:rPr>
        <w:rFonts w:ascii="Gill Sans MT" w:hAnsi="Gill Sans MT" w:hint="default"/>
        <w:b w:val="0"/>
        <w:i w:val="0"/>
        <w:sz w:val="24"/>
        <w:szCs w:val="24"/>
      </w:rPr>
    </w:lvl>
    <w:lvl w:ilvl="2">
      <w:start w:val="1"/>
      <w:numFmt w:val="decimal"/>
      <w:lvlText w:val="%1.%2.%3."/>
      <w:lvlJc w:val="left"/>
      <w:pPr>
        <w:tabs>
          <w:tab w:val="num" w:pos="1134"/>
        </w:tabs>
        <w:ind w:left="1134" w:hanging="1134"/>
      </w:pPr>
      <w:rPr>
        <w:rFonts w:hint="default"/>
      </w:rPr>
    </w:lvl>
    <w:lvl w:ilvl="3">
      <w:start w:val="1"/>
      <w:numFmt w:val="lowerRoman"/>
      <w:lvlText w:val="%4."/>
      <w:lvlJc w:val="left"/>
      <w:pPr>
        <w:tabs>
          <w:tab w:val="num" w:pos="1728"/>
        </w:tabs>
        <w:ind w:left="1728" w:hanging="5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1E803E28"/>
    <w:multiLevelType w:val="hybridMultilevel"/>
    <w:tmpl w:val="A9D4971C"/>
    <w:lvl w:ilvl="0" w:tplc="FB64E17E">
      <w:start w:val="70"/>
      <w:numFmt w:val="decimal"/>
      <w:lvlText w:val="%1."/>
      <w:lvlJc w:val="left"/>
      <w:pPr>
        <w:ind w:left="144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2967F0"/>
    <w:multiLevelType w:val="hybridMultilevel"/>
    <w:tmpl w:val="75CE0208"/>
    <w:lvl w:ilvl="0" w:tplc="DC3808BA">
      <w:start w:val="61"/>
      <w:numFmt w:val="decimal"/>
      <w:lvlText w:val="%1."/>
      <w:lvlJc w:val="left"/>
      <w:pPr>
        <w:tabs>
          <w:tab w:val="num" w:pos="1440"/>
        </w:tabs>
        <w:ind w:left="144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38A2E23"/>
    <w:multiLevelType w:val="hybridMultilevel"/>
    <w:tmpl w:val="606215E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A401151"/>
    <w:multiLevelType w:val="hybridMultilevel"/>
    <w:tmpl w:val="EE885B50"/>
    <w:lvl w:ilvl="0" w:tplc="DF681A7C">
      <w:start w:val="1"/>
      <w:numFmt w:val="lowerLetter"/>
      <w:lvlText w:val="%1)"/>
      <w:lvlJc w:val="left"/>
      <w:pPr>
        <w:ind w:left="928"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A8C7E83"/>
    <w:multiLevelType w:val="hybridMultilevel"/>
    <w:tmpl w:val="BE9ACF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C4C0AD6"/>
    <w:multiLevelType w:val="multilevel"/>
    <w:tmpl w:val="1C4E4632"/>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CF7451D"/>
    <w:multiLevelType w:val="multilevel"/>
    <w:tmpl w:val="6CFC7350"/>
    <w:lvl w:ilvl="0">
      <w:start w:val="1"/>
      <w:numFmt w:val="decimal"/>
      <w:pStyle w:val="11"/>
      <w:lvlText w:val="1.%1"/>
      <w:lvlJc w:val="left"/>
      <w:pPr>
        <w:tabs>
          <w:tab w:val="num" w:pos="720"/>
        </w:tabs>
        <w:ind w:left="720" w:hanging="720"/>
      </w:pPr>
      <w:rPr>
        <w:rFonts w:asciiTheme="minorHAnsi" w:hAnsiTheme="minorHAnsi" w:hint="default"/>
        <w:sz w:val="22"/>
        <w:szCs w:val="22"/>
      </w:rPr>
    </w:lvl>
    <w:lvl w:ilvl="1">
      <w:start w:val="1"/>
      <w:numFmt w:val="bullet"/>
      <w:lvlText w:val=""/>
      <w:lvlJc w:val="left"/>
      <w:pPr>
        <w:tabs>
          <w:tab w:val="num" w:pos="792"/>
        </w:tabs>
        <w:ind w:left="792" w:hanging="432"/>
      </w:pPr>
      <w:rPr>
        <w:rFonts w:ascii="Symbol" w:hAnsi="Symbol"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EF3688F"/>
    <w:multiLevelType w:val="hybridMultilevel"/>
    <w:tmpl w:val="0ED436B4"/>
    <w:lvl w:ilvl="0" w:tplc="FA345BCE">
      <w:start w:val="56"/>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1D02CAD"/>
    <w:multiLevelType w:val="hybridMultilevel"/>
    <w:tmpl w:val="4364A8FA"/>
    <w:lvl w:ilvl="0" w:tplc="08090017">
      <w:start w:val="1"/>
      <w:numFmt w:val="lowerLetter"/>
      <w:lvlText w:val="%1)"/>
      <w:lvlJc w:val="left"/>
      <w:pPr>
        <w:ind w:left="1789" w:hanging="360"/>
      </w:pPr>
      <w:rPr>
        <w:rFonts w:hint="default"/>
        <w:b w:val="0"/>
        <w:sz w:val="24"/>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7" w15:restartNumberingAfterBreak="0">
    <w:nsid w:val="32F353BD"/>
    <w:multiLevelType w:val="hybridMultilevel"/>
    <w:tmpl w:val="6F30EAF0"/>
    <w:lvl w:ilvl="0" w:tplc="6D420678">
      <w:start w:val="10"/>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9D01527"/>
    <w:multiLevelType w:val="hybridMultilevel"/>
    <w:tmpl w:val="655837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F683BAC"/>
    <w:multiLevelType w:val="hybridMultilevel"/>
    <w:tmpl w:val="C3BEF5CC"/>
    <w:lvl w:ilvl="0" w:tplc="50B0CE34">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01">
      <w:start w:val="1"/>
      <w:numFmt w:val="bullet"/>
      <w:lvlText w:val=""/>
      <w:lvlJc w:val="left"/>
      <w:pPr>
        <w:ind w:left="3240" w:hanging="180"/>
      </w:pPr>
      <w:rPr>
        <w:rFonts w:ascii="Symbol" w:hAnsi="Symbol" w:hint="default"/>
      </w:rPr>
    </w:lvl>
    <w:lvl w:ilvl="3" w:tplc="0A1AD69A">
      <w:start w:val="51"/>
      <w:numFmt w:val="decimal"/>
      <w:lvlText w:val="%4."/>
      <w:lvlJc w:val="left"/>
      <w:pPr>
        <w:ind w:left="3960" w:hanging="360"/>
      </w:pPr>
      <w:rPr>
        <w:rFonts w:hint="default"/>
      </w:rPr>
    </w:lvl>
    <w:lvl w:ilvl="4" w:tplc="221E3284">
      <w:start w:val="51"/>
      <w:numFmt w:val="decimal"/>
      <w:lvlText w:val="%5"/>
      <w:lvlJc w:val="left"/>
      <w:pPr>
        <w:ind w:left="4680" w:hanging="360"/>
      </w:pPr>
      <w:rPr>
        <w:rFonts w:hint="default"/>
      </w:rPr>
    </w:lvl>
    <w:lvl w:ilvl="5" w:tplc="0809001B">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408E4C7D"/>
    <w:multiLevelType w:val="hybridMultilevel"/>
    <w:tmpl w:val="3CB69108"/>
    <w:lvl w:ilvl="0" w:tplc="A4549924">
      <w:start w:val="48"/>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19B15E4"/>
    <w:multiLevelType w:val="hybridMultilevel"/>
    <w:tmpl w:val="12A0F676"/>
    <w:lvl w:ilvl="0" w:tplc="19CE3D34">
      <w:start w:val="58"/>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37F22B7"/>
    <w:multiLevelType w:val="hybridMultilevel"/>
    <w:tmpl w:val="11D6B912"/>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48651EBA"/>
    <w:multiLevelType w:val="multilevel"/>
    <w:tmpl w:val="798A3FFE"/>
    <w:lvl w:ilvl="0">
      <w:start w:val="1"/>
      <w:numFmt w:val="lowerLetter"/>
      <w:lvlText w:val="%1)"/>
      <w:lvlJc w:val="left"/>
      <w:pPr>
        <w:tabs>
          <w:tab w:val="num" w:pos="720"/>
        </w:tabs>
        <w:ind w:left="720" w:hanging="360"/>
      </w:pPr>
      <w:rPr>
        <w:rFonts w:hint="default"/>
        <w:sz w:val="20"/>
      </w:rPr>
    </w:lvl>
    <w:lvl w:ilvl="1">
      <w:start w:val="9"/>
      <w:numFmt w:val="decimal"/>
      <w:lvlText w:val="%2."/>
      <w:lvlJc w:val="left"/>
      <w:pPr>
        <w:ind w:left="1440" w:hanging="360"/>
      </w:pPr>
      <w:rPr>
        <w:rFonts w:hint="default"/>
      </w:rPr>
    </w:lvl>
    <w:lvl w:ilvl="2">
      <w:start w:val="88"/>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A985F0A"/>
    <w:multiLevelType w:val="hybridMultilevel"/>
    <w:tmpl w:val="760297E0"/>
    <w:lvl w:ilvl="0" w:tplc="FF76015C">
      <w:start w:val="50"/>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CFC2C3E"/>
    <w:multiLevelType w:val="hybridMultilevel"/>
    <w:tmpl w:val="1982091E"/>
    <w:lvl w:ilvl="0" w:tplc="08090017">
      <w:start w:val="1"/>
      <w:numFmt w:val="lowerLetter"/>
      <w:lvlText w:val="%1)"/>
      <w:lvlJc w:val="left"/>
      <w:pPr>
        <w:ind w:left="1789" w:hanging="360"/>
      </w:pPr>
      <w:rPr>
        <w:rFonts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36" w15:restartNumberingAfterBreak="0">
    <w:nsid w:val="4E137D6F"/>
    <w:multiLevelType w:val="hybridMultilevel"/>
    <w:tmpl w:val="AD14426C"/>
    <w:lvl w:ilvl="0" w:tplc="B664D262">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33B3B2F"/>
    <w:multiLevelType w:val="hybridMultilevel"/>
    <w:tmpl w:val="6A64F830"/>
    <w:lvl w:ilvl="0" w:tplc="E25A2682">
      <w:start w:val="8"/>
      <w:numFmt w:val="lowerLetter"/>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39C5281"/>
    <w:multiLevelType w:val="hybridMultilevel"/>
    <w:tmpl w:val="C380A0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549F214B"/>
    <w:multiLevelType w:val="multilevel"/>
    <w:tmpl w:val="B3C8B0F8"/>
    <w:lvl w:ilvl="0">
      <w:start w:val="1"/>
      <w:numFmt w:val="decimal"/>
      <w:lvlText w:val="%1."/>
      <w:lvlJc w:val="left"/>
      <w:pPr>
        <w:ind w:left="360" w:hanging="360"/>
      </w:pPr>
    </w:lvl>
    <w:lvl w:ilvl="1">
      <w:start w:val="1"/>
      <w:numFmt w:val="decimal"/>
      <w:pStyle w:val="abody"/>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0" w15:restartNumberingAfterBreak="0">
    <w:nsid w:val="576047B5"/>
    <w:multiLevelType w:val="hybridMultilevel"/>
    <w:tmpl w:val="7206E92A"/>
    <w:lvl w:ilvl="0" w:tplc="1C72A0DC">
      <w:start w:val="17"/>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7B7631C"/>
    <w:multiLevelType w:val="multilevel"/>
    <w:tmpl w:val="287229B0"/>
    <w:lvl w:ilvl="0">
      <w:start w:val="1"/>
      <w:numFmt w:val="lowerLetter"/>
      <w:lvlText w:val="%1)"/>
      <w:lvlJc w:val="left"/>
      <w:pPr>
        <w:tabs>
          <w:tab w:val="num" w:pos="720"/>
        </w:tabs>
        <w:ind w:left="720" w:hanging="360"/>
      </w:pPr>
      <w:rPr>
        <w:rFonts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83A74A3"/>
    <w:multiLevelType w:val="hybridMultilevel"/>
    <w:tmpl w:val="BE5A027C"/>
    <w:lvl w:ilvl="0" w:tplc="7CA89FE6">
      <w:start w:val="22"/>
      <w:numFmt w:val="decimal"/>
      <w:lvlText w:val="%1."/>
      <w:lvlJc w:val="left"/>
      <w:pPr>
        <w:ind w:left="7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A8E3E0E"/>
    <w:multiLevelType w:val="hybridMultilevel"/>
    <w:tmpl w:val="B4908992"/>
    <w:lvl w:ilvl="0" w:tplc="08090017">
      <w:start w:val="1"/>
      <w:numFmt w:val="lowerLetter"/>
      <w:lvlText w:val="%1)"/>
      <w:lvlJc w:val="left"/>
      <w:pPr>
        <w:ind w:left="971" w:hanging="360"/>
      </w:pPr>
      <w:rPr>
        <w:rFonts w:hint="default"/>
      </w:rPr>
    </w:lvl>
    <w:lvl w:ilvl="1" w:tplc="08090003" w:tentative="1">
      <w:start w:val="1"/>
      <w:numFmt w:val="bullet"/>
      <w:lvlText w:val="o"/>
      <w:lvlJc w:val="left"/>
      <w:pPr>
        <w:ind w:left="1691" w:hanging="360"/>
      </w:pPr>
      <w:rPr>
        <w:rFonts w:ascii="Courier New" w:hAnsi="Courier New" w:cs="Courier New" w:hint="default"/>
      </w:rPr>
    </w:lvl>
    <w:lvl w:ilvl="2" w:tplc="08090005" w:tentative="1">
      <w:start w:val="1"/>
      <w:numFmt w:val="bullet"/>
      <w:lvlText w:val=""/>
      <w:lvlJc w:val="left"/>
      <w:pPr>
        <w:ind w:left="2411" w:hanging="360"/>
      </w:pPr>
      <w:rPr>
        <w:rFonts w:ascii="Wingdings" w:hAnsi="Wingdings" w:hint="default"/>
      </w:rPr>
    </w:lvl>
    <w:lvl w:ilvl="3" w:tplc="08090001" w:tentative="1">
      <w:start w:val="1"/>
      <w:numFmt w:val="bullet"/>
      <w:lvlText w:val=""/>
      <w:lvlJc w:val="left"/>
      <w:pPr>
        <w:ind w:left="3131" w:hanging="360"/>
      </w:pPr>
      <w:rPr>
        <w:rFonts w:ascii="Symbol" w:hAnsi="Symbol" w:hint="default"/>
      </w:rPr>
    </w:lvl>
    <w:lvl w:ilvl="4" w:tplc="08090003" w:tentative="1">
      <w:start w:val="1"/>
      <w:numFmt w:val="bullet"/>
      <w:lvlText w:val="o"/>
      <w:lvlJc w:val="left"/>
      <w:pPr>
        <w:ind w:left="3851" w:hanging="360"/>
      </w:pPr>
      <w:rPr>
        <w:rFonts w:ascii="Courier New" w:hAnsi="Courier New" w:cs="Courier New" w:hint="default"/>
      </w:rPr>
    </w:lvl>
    <w:lvl w:ilvl="5" w:tplc="08090005" w:tentative="1">
      <w:start w:val="1"/>
      <w:numFmt w:val="bullet"/>
      <w:lvlText w:val=""/>
      <w:lvlJc w:val="left"/>
      <w:pPr>
        <w:ind w:left="4571" w:hanging="360"/>
      </w:pPr>
      <w:rPr>
        <w:rFonts w:ascii="Wingdings" w:hAnsi="Wingdings" w:hint="default"/>
      </w:rPr>
    </w:lvl>
    <w:lvl w:ilvl="6" w:tplc="08090001" w:tentative="1">
      <w:start w:val="1"/>
      <w:numFmt w:val="bullet"/>
      <w:lvlText w:val=""/>
      <w:lvlJc w:val="left"/>
      <w:pPr>
        <w:ind w:left="5291" w:hanging="360"/>
      </w:pPr>
      <w:rPr>
        <w:rFonts w:ascii="Symbol" w:hAnsi="Symbol" w:hint="default"/>
      </w:rPr>
    </w:lvl>
    <w:lvl w:ilvl="7" w:tplc="08090003" w:tentative="1">
      <w:start w:val="1"/>
      <w:numFmt w:val="bullet"/>
      <w:lvlText w:val="o"/>
      <w:lvlJc w:val="left"/>
      <w:pPr>
        <w:ind w:left="6011" w:hanging="360"/>
      </w:pPr>
      <w:rPr>
        <w:rFonts w:ascii="Courier New" w:hAnsi="Courier New" w:cs="Courier New" w:hint="default"/>
      </w:rPr>
    </w:lvl>
    <w:lvl w:ilvl="8" w:tplc="08090005" w:tentative="1">
      <w:start w:val="1"/>
      <w:numFmt w:val="bullet"/>
      <w:lvlText w:val=""/>
      <w:lvlJc w:val="left"/>
      <w:pPr>
        <w:ind w:left="6731" w:hanging="360"/>
      </w:pPr>
      <w:rPr>
        <w:rFonts w:ascii="Wingdings" w:hAnsi="Wingdings" w:hint="default"/>
      </w:rPr>
    </w:lvl>
  </w:abstractNum>
  <w:abstractNum w:abstractNumId="44" w15:restartNumberingAfterBreak="0">
    <w:nsid w:val="5B936450"/>
    <w:multiLevelType w:val="hybridMultilevel"/>
    <w:tmpl w:val="D99275EA"/>
    <w:lvl w:ilvl="0" w:tplc="0CA2060A">
      <w:start w:val="1"/>
      <w:numFmt w:val="bullet"/>
      <w:pStyle w:val="Style4"/>
      <w:lvlText w:val=""/>
      <w:lvlJc w:val="left"/>
      <w:pPr>
        <w:ind w:left="1267" w:hanging="360"/>
      </w:pPr>
      <w:rPr>
        <w:rFonts w:ascii="Wingdings" w:hAnsi="Wingdings" w:hint="default"/>
        <w:color w:val="00B0F0"/>
      </w:rPr>
    </w:lvl>
    <w:lvl w:ilvl="1" w:tplc="6D720CB8">
      <w:start w:val="1"/>
      <w:numFmt w:val="lowerRoman"/>
      <w:lvlText w:val="%2."/>
      <w:lvlJc w:val="left"/>
      <w:pPr>
        <w:ind w:left="1987" w:hanging="360"/>
      </w:pPr>
      <w:rPr>
        <w:rFonts w:hint="default"/>
        <w:color w:val="00B0F0"/>
      </w:rPr>
    </w:lvl>
    <w:lvl w:ilvl="2" w:tplc="08090005">
      <w:start w:val="1"/>
      <w:numFmt w:val="bullet"/>
      <w:lvlText w:val=""/>
      <w:lvlJc w:val="left"/>
      <w:pPr>
        <w:ind w:left="2707" w:hanging="360"/>
      </w:pPr>
      <w:rPr>
        <w:rFonts w:ascii="Wingdings" w:hAnsi="Wingdings" w:hint="default"/>
      </w:rPr>
    </w:lvl>
    <w:lvl w:ilvl="3" w:tplc="08090001">
      <w:start w:val="1"/>
      <w:numFmt w:val="bullet"/>
      <w:lvlText w:val=""/>
      <w:lvlJc w:val="left"/>
      <w:pPr>
        <w:ind w:left="3427" w:hanging="360"/>
      </w:pPr>
      <w:rPr>
        <w:rFonts w:ascii="Symbol" w:hAnsi="Symbol" w:hint="default"/>
      </w:rPr>
    </w:lvl>
    <w:lvl w:ilvl="4" w:tplc="08090003">
      <w:start w:val="1"/>
      <w:numFmt w:val="bullet"/>
      <w:lvlText w:val="o"/>
      <w:lvlJc w:val="left"/>
      <w:pPr>
        <w:ind w:left="4147" w:hanging="360"/>
      </w:pPr>
      <w:rPr>
        <w:rFonts w:ascii="Courier New" w:hAnsi="Courier New" w:cs="Courier New" w:hint="default"/>
      </w:rPr>
    </w:lvl>
    <w:lvl w:ilvl="5" w:tplc="08090005">
      <w:start w:val="1"/>
      <w:numFmt w:val="bullet"/>
      <w:lvlText w:val=""/>
      <w:lvlJc w:val="left"/>
      <w:pPr>
        <w:ind w:left="4867" w:hanging="360"/>
      </w:pPr>
      <w:rPr>
        <w:rFonts w:ascii="Wingdings" w:hAnsi="Wingdings" w:hint="default"/>
      </w:rPr>
    </w:lvl>
    <w:lvl w:ilvl="6" w:tplc="0809000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45" w15:restartNumberingAfterBreak="0">
    <w:nsid w:val="644331C9"/>
    <w:multiLevelType w:val="hybridMultilevel"/>
    <w:tmpl w:val="675230E0"/>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651C3354"/>
    <w:multiLevelType w:val="hybridMultilevel"/>
    <w:tmpl w:val="9FAE3EE6"/>
    <w:lvl w:ilvl="0" w:tplc="9B2C63FA">
      <w:start w:val="1"/>
      <w:numFmt w:val="bullet"/>
      <w:lvlText w:val=""/>
      <w:lvlJc w:val="left"/>
      <w:pPr>
        <w:tabs>
          <w:tab w:val="num" w:pos="1800"/>
        </w:tabs>
        <w:ind w:left="1800" w:hanging="360"/>
      </w:pPr>
      <w:rPr>
        <w:rFonts w:ascii="Wingdings" w:hAnsi="Wingdings" w:hint="default"/>
        <w:color w:val="000080"/>
      </w:rPr>
    </w:lvl>
    <w:lvl w:ilvl="1" w:tplc="08090017">
      <w:start w:val="1"/>
      <w:numFmt w:val="lowerLetter"/>
      <w:lvlText w:val="%2)"/>
      <w:lvlJc w:val="left"/>
      <w:pPr>
        <w:tabs>
          <w:tab w:val="num" w:pos="2160"/>
        </w:tabs>
        <w:ind w:left="2160" w:hanging="360"/>
      </w:pPr>
      <w:rPr>
        <w:rFonts w:hint="default"/>
        <w:color w:val="000080"/>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65F11477"/>
    <w:multiLevelType w:val="singleLevel"/>
    <w:tmpl w:val="D7D0DF3E"/>
    <w:lvl w:ilvl="0">
      <w:start w:val="1"/>
      <w:numFmt w:val="decimal"/>
      <w:pStyle w:val="ReportNumbering"/>
      <w:lvlText w:val="%1."/>
      <w:lvlJc w:val="left"/>
      <w:pPr>
        <w:tabs>
          <w:tab w:val="num" w:pos="360"/>
        </w:tabs>
        <w:ind w:left="360" w:hanging="360"/>
      </w:pPr>
    </w:lvl>
  </w:abstractNum>
  <w:abstractNum w:abstractNumId="48" w15:restartNumberingAfterBreak="0">
    <w:nsid w:val="6AB451DF"/>
    <w:multiLevelType w:val="hybridMultilevel"/>
    <w:tmpl w:val="BC78E394"/>
    <w:lvl w:ilvl="0" w:tplc="08090017">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2DA0D97C">
      <w:start w:val="85"/>
      <w:numFmt w:val="decimal"/>
      <w:lvlText w:val="%3"/>
      <w:lvlJc w:val="left"/>
      <w:pPr>
        <w:ind w:left="2520" w:hanging="360"/>
      </w:pPr>
      <w:rPr>
        <w:rFont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6B3350CD"/>
    <w:multiLevelType w:val="hybridMultilevel"/>
    <w:tmpl w:val="1576BDC4"/>
    <w:lvl w:ilvl="0" w:tplc="A73292EC">
      <w:start w:val="87"/>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C705A6C"/>
    <w:multiLevelType w:val="hybridMultilevel"/>
    <w:tmpl w:val="D3167EBC"/>
    <w:lvl w:ilvl="0" w:tplc="08090017">
      <w:start w:val="1"/>
      <w:numFmt w:val="lowerLetter"/>
      <w:lvlText w:val="%1)"/>
      <w:lvlJc w:val="left"/>
      <w:pPr>
        <w:ind w:left="928"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CE317E4"/>
    <w:multiLevelType w:val="hybridMultilevel"/>
    <w:tmpl w:val="3D7ADDA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6E4644D7"/>
    <w:multiLevelType w:val="hybridMultilevel"/>
    <w:tmpl w:val="543E4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2922D86"/>
    <w:multiLevelType w:val="hybridMultilevel"/>
    <w:tmpl w:val="93EA023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5A101F3"/>
    <w:multiLevelType w:val="multilevel"/>
    <w:tmpl w:val="143A3458"/>
    <w:lvl w:ilvl="0">
      <w:start w:val="1"/>
      <w:numFmt w:val="lowerLetter"/>
      <w:lvlText w:val="%1)"/>
      <w:lvlJc w:val="left"/>
      <w:pPr>
        <w:tabs>
          <w:tab w:val="num" w:pos="720"/>
        </w:tabs>
        <w:ind w:left="720" w:hanging="360"/>
      </w:pPr>
      <w:rPr>
        <w:rFonts w:hint="default"/>
        <w:sz w:val="20"/>
      </w:rPr>
    </w:lvl>
    <w:lvl w:ilvl="1">
      <w:start w:val="9"/>
      <w:numFmt w:val="decimal"/>
      <w:lvlText w:val="%2."/>
      <w:lvlJc w:val="left"/>
      <w:pPr>
        <w:ind w:left="1440" w:hanging="360"/>
      </w:pPr>
      <w:rPr>
        <w:rFonts w:hint="default"/>
      </w:rPr>
    </w:lvl>
    <w:lvl w:ilvl="2">
      <w:start w:val="94"/>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96B511D"/>
    <w:multiLevelType w:val="hybridMultilevel"/>
    <w:tmpl w:val="A880D110"/>
    <w:lvl w:ilvl="0" w:tplc="CD26ADEE">
      <w:start w:val="60"/>
      <w:numFmt w:val="decimal"/>
      <w:lvlText w:val="%1."/>
      <w:lvlJc w:val="left"/>
      <w:pPr>
        <w:ind w:left="108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C767C70"/>
    <w:multiLevelType w:val="hybridMultilevel"/>
    <w:tmpl w:val="62802E9E"/>
    <w:lvl w:ilvl="0" w:tplc="08090017">
      <w:start w:val="1"/>
      <w:numFmt w:val="lowerLetter"/>
      <w:lvlText w:val="%1)"/>
      <w:lvlJc w:val="left"/>
      <w:pPr>
        <w:ind w:left="744" w:hanging="360"/>
      </w:pPr>
      <w:rPr>
        <w:rFonts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num w:numId="1">
    <w:abstractNumId w:val="47"/>
  </w:num>
  <w:num w:numId="2">
    <w:abstractNumId w:val="29"/>
  </w:num>
  <w:num w:numId="3">
    <w:abstractNumId w:val="51"/>
  </w:num>
  <w:num w:numId="4">
    <w:abstractNumId w:val="17"/>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num>
  <w:num w:numId="8">
    <w:abstractNumId w:val="9"/>
  </w:num>
  <w:num w:numId="9">
    <w:abstractNumId w:val="23"/>
  </w:num>
  <w:num w:numId="10">
    <w:abstractNumId w:val="15"/>
  </w:num>
  <w:num w:numId="11">
    <w:abstractNumId w:val="41"/>
  </w:num>
  <w:num w:numId="12">
    <w:abstractNumId w:val="1"/>
  </w:num>
  <w:num w:numId="13">
    <w:abstractNumId w:val="20"/>
  </w:num>
  <w:num w:numId="14">
    <w:abstractNumId w:val="7"/>
  </w:num>
  <w:num w:numId="15">
    <w:abstractNumId w:val="56"/>
  </w:num>
  <w:num w:numId="16">
    <w:abstractNumId w:val="16"/>
  </w:num>
  <w:num w:numId="17">
    <w:abstractNumId w:val="32"/>
  </w:num>
  <w:num w:numId="18">
    <w:abstractNumId w:val="11"/>
  </w:num>
  <w:num w:numId="19">
    <w:abstractNumId w:val="53"/>
  </w:num>
  <w:num w:numId="20">
    <w:abstractNumId w:val="50"/>
  </w:num>
  <w:num w:numId="21">
    <w:abstractNumId w:val="12"/>
  </w:num>
  <w:num w:numId="22">
    <w:abstractNumId w:val="45"/>
  </w:num>
  <w:num w:numId="23">
    <w:abstractNumId w:val="26"/>
  </w:num>
  <w:num w:numId="24">
    <w:abstractNumId w:val="43"/>
  </w:num>
  <w:num w:numId="25">
    <w:abstractNumId w:val="35"/>
  </w:num>
  <w:num w:numId="26">
    <w:abstractNumId w:val="13"/>
  </w:num>
  <w:num w:numId="27">
    <w:abstractNumId w:val="46"/>
  </w:num>
  <w:num w:numId="28">
    <w:abstractNumId w:val="2"/>
  </w:num>
  <w:num w:numId="29">
    <w:abstractNumId w:val="6"/>
  </w:num>
  <w:num w:numId="30">
    <w:abstractNumId w:val="33"/>
  </w:num>
  <w:num w:numId="31">
    <w:abstractNumId w:val="22"/>
  </w:num>
  <w:num w:numId="32">
    <w:abstractNumId w:val="54"/>
  </w:num>
  <w:num w:numId="33">
    <w:abstractNumId w:val="38"/>
  </w:num>
  <w:num w:numId="34">
    <w:abstractNumId w:val="28"/>
  </w:num>
  <w:num w:numId="35">
    <w:abstractNumId w:val="21"/>
  </w:num>
  <w:num w:numId="36">
    <w:abstractNumId w:val="37"/>
  </w:num>
  <w:num w:numId="37">
    <w:abstractNumId w:val="44"/>
  </w:num>
  <w:num w:numId="38">
    <w:abstractNumId w:val="52"/>
  </w:num>
  <w:num w:numId="39">
    <w:abstractNumId w:val="24"/>
  </w:num>
  <w:num w:numId="40">
    <w:abstractNumId w:val="27"/>
  </w:num>
  <w:num w:numId="41">
    <w:abstractNumId w:val="10"/>
  </w:num>
  <w:num w:numId="42">
    <w:abstractNumId w:val="40"/>
  </w:num>
  <w:num w:numId="43">
    <w:abstractNumId w:val="8"/>
  </w:num>
  <w:num w:numId="44">
    <w:abstractNumId w:val="42"/>
  </w:num>
  <w:num w:numId="45">
    <w:abstractNumId w:val="0"/>
  </w:num>
  <w:num w:numId="46">
    <w:abstractNumId w:val="36"/>
  </w:num>
  <w:num w:numId="47">
    <w:abstractNumId w:val="5"/>
  </w:num>
  <w:num w:numId="48">
    <w:abstractNumId w:val="14"/>
  </w:num>
  <w:num w:numId="49">
    <w:abstractNumId w:val="30"/>
  </w:num>
  <w:num w:numId="50">
    <w:abstractNumId w:val="34"/>
  </w:num>
  <w:num w:numId="51">
    <w:abstractNumId w:val="25"/>
  </w:num>
  <w:num w:numId="52">
    <w:abstractNumId w:val="31"/>
  </w:num>
  <w:num w:numId="53">
    <w:abstractNumId w:val="55"/>
  </w:num>
  <w:num w:numId="54">
    <w:abstractNumId w:val="19"/>
  </w:num>
  <w:num w:numId="55">
    <w:abstractNumId w:val="18"/>
  </w:num>
  <w:num w:numId="56">
    <w:abstractNumId w:val="49"/>
  </w:num>
  <w:num w:numId="57">
    <w:abstractNumId w:val="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0121"/>
    <w:rsid w:val="00000222"/>
    <w:rsid w:val="00000801"/>
    <w:rsid w:val="00000EAF"/>
    <w:rsid w:val="00001F53"/>
    <w:rsid w:val="000026E1"/>
    <w:rsid w:val="00002ACC"/>
    <w:rsid w:val="0000329A"/>
    <w:rsid w:val="00003F37"/>
    <w:rsid w:val="00003FE6"/>
    <w:rsid w:val="00004448"/>
    <w:rsid w:val="0000468F"/>
    <w:rsid w:val="00004FC3"/>
    <w:rsid w:val="00005687"/>
    <w:rsid w:val="00006CD9"/>
    <w:rsid w:val="0000772B"/>
    <w:rsid w:val="00010588"/>
    <w:rsid w:val="00011F07"/>
    <w:rsid w:val="0001206E"/>
    <w:rsid w:val="000120B5"/>
    <w:rsid w:val="0001278A"/>
    <w:rsid w:val="00013245"/>
    <w:rsid w:val="0001377A"/>
    <w:rsid w:val="000148E2"/>
    <w:rsid w:val="00014AC3"/>
    <w:rsid w:val="00014CCE"/>
    <w:rsid w:val="00014D43"/>
    <w:rsid w:val="00015264"/>
    <w:rsid w:val="0001589B"/>
    <w:rsid w:val="000163B9"/>
    <w:rsid w:val="00016AF4"/>
    <w:rsid w:val="00017261"/>
    <w:rsid w:val="00017EC1"/>
    <w:rsid w:val="0002042E"/>
    <w:rsid w:val="0002084D"/>
    <w:rsid w:val="00020BF5"/>
    <w:rsid w:val="00022FE4"/>
    <w:rsid w:val="00023727"/>
    <w:rsid w:val="00023C36"/>
    <w:rsid w:val="00024C99"/>
    <w:rsid w:val="000268B4"/>
    <w:rsid w:val="00026D0F"/>
    <w:rsid w:val="00026D54"/>
    <w:rsid w:val="00030319"/>
    <w:rsid w:val="00032DD3"/>
    <w:rsid w:val="0003598D"/>
    <w:rsid w:val="00036B31"/>
    <w:rsid w:val="000374C3"/>
    <w:rsid w:val="000375DC"/>
    <w:rsid w:val="0003781E"/>
    <w:rsid w:val="00037D09"/>
    <w:rsid w:val="000409F1"/>
    <w:rsid w:val="00040FE0"/>
    <w:rsid w:val="0004116B"/>
    <w:rsid w:val="00041DBF"/>
    <w:rsid w:val="000433C7"/>
    <w:rsid w:val="0004668D"/>
    <w:rsid w:val="00046ACD"/>
    <w:rsid w:val="000500E3"/>
    <w:rsid w:val="000515AC"/>
    <w:rsid w:val="00052F09"/>
    <w:rsid w:val="0005334B"/>
    <w:rsid w:val="0005375B"/>
    <w:rsid w:val="0005470D"/>
    <w:rsid w:val="000548A5"/>
    <w:rsid w:val="0005525B"/>
    <w:rsid w:val="000552C7"/>
    <w:rsid w:val="00056263"/>
    <w:rsid w:val="00056945"/>
    <w:rsid w:val="00056DFB"/>
    <w:rsid w:val="00061569"/>
    <w:rsid w:val="00061CDD"/>
    <w:rsid w:val="00064089"/>
    <w:rsid w:val="000651D3"/>
    <w:rsid w:val="00065297"/>
    <w:rsid w:val="000656A9"/>
    <w:rsid w:val="0006701F"/>
    <w:rsid w:val="000670D8"/>
    <w:rsid w:val="000675DC"/>
    <w:rsid w:val="00070723"/>
    <w:rsid w:val="00071B82"/>
    <w:rsid w:val="00071E87"/>
    <w:rsid w:val="00072E78"/>
    <w:rsid w:val="00073637"/>
    <w:rsid w:val="00073CCA"/>
    <w:rsid w:val="000743AA"/>
    <w:rsid w:val="00074897"/>
    <w:rsid w:val="00074F35"/>
    <w:rsid w:val="00075169"/>
    <w:rsid w:val="00076698"/>
    <w:rsid w:val="00076FD9"/>
    <w:rsid w:val="000806EF"/>
    <w:rsid w:val="000833D1"/>
    <w:rsid w:val="000851F2"/>
    <w:rsid w:val="0008606E"/>
    <w:rsid w:val="00086317"/>
    <w:rsid w:val="000864AE"/>
    <w:rsid w:val="0008651B"/>
    <w:rsid w:val="0008663A"/>
    <w:rsid w:val="00086EBA"/>
    <w:rsid w:val="00087185"/>
    <w:rsid w:val="00087507"/>
    <w:rsid w:val="00090985"/>
    <w:rsid w:val="000909AE"/>
    <w:rsid w:val="0009116B"/>
    <w:rsid w:val="000911F3"/>
    <w:rsid w:val="00091D62"/>
    <w:rsid w:val="0009449A"/>
    <w:rsid w:val="00094D1E"/>
    <w:rsid w:val="00094E55"/>
    <w:rsid w:val="00095085"/>
    <w:rsid w:val="00095D72"/>
    <w:rsid w:val="0009616E"/>
    <w:rsid w:val="00096BAD"/>
    <w:rsid w:val="000973F8"/>
    <w:rsid w:val="0009753F"/>
    <w:rsid w:val="00097D70"/>
    <w:rsid w:val="00097FFC"/>
    <w:rsid w:val="000A0E93"/>
    <w:rsid w:val="000A1460"/>
    <w:rsid w:val="000A18C0"/>
    <w:rsid w:val="000A1EA2"/>
    <w:rsid w:val="000A2BAF"/>
    <w:rsid w:val="000A487D"/>
    <w:rsid w:val="000A4CA2"/>
    <w:rsid w:val="000A5D75"/>
    <w:rsid w:val="000A731F"/>
    <w:rsid w:val="000B173D"/>
    <w:rsid w:val="000B17F5"/>
    <w:rsid w:val="000B1DBE"/>
    <w:rsid w:val="000B26A3"/>
    <w:rsid w:val="000B2960"/>
    <w:rsid w:val="000B3050"/>
    <w:rsid w:val="000B366D"/>
    <w:rsid w:val="000B3A12"/>
    <w:rsid w:val="000B44CB"/>
    <w:rsid w:val="000B6EF3"/>
    <w:rsid w:val="000B78D2"/>
    <w:rsid w:val="000B790A"/>
    <w:rsid w:val="000C03E1"/>
    <w:rsid w:val="000C0708"/>
    <w:rsid w:val="000C0D51"/>
    <w:rsid w:val="000C11C5"/>
    <w:rsid w:val="000C143A"/>
    <w:rsid w:val="000C25EA"/>
    <w:rsid w:val="000C2E11"/>
    <w:rsid w:val="000C34F2"/>
    <w:rsid w:val="000C480C"/>
    <w:rsid w:val="000C4C6F"/>
    <w:rsid w:val="000C5168"/>
    <w:rsid w:val="000C56AB"/>
    <w:rsid w:val="000C5CA1"/>
    <w:rsid w:val="000C7969"/>
    <w:rsid w:val="000D1E25"/>
    <w:rsid w:val="000D3698"/>
    <w:rsid w:val="000D3814"/>
    <w:rsid w:val="000D4044"/>
    <w:rsid w:val="000D4065"/>
    <w:rsid w:val="000D4472"/>
    <w:rsid w:val="000D47C6"/>
    <w:rsid w:val="000D6B54"/>
    <w:rsid w:val="000D7025"/>
    <w:rsid w:val="000D75E5"/>
    <w:rsid w:val="000E1129"/>
    <w:rsid w:val="000E3E60"/>
    <w:rsid w:val="000E497C"/>
    <w:rsid w:val="000E4F2D"/>
    <w:rsid w:val="000E5418"/>
    <w:rsid w:val="000E5472"/>
    <w:rsid w:val="000E5A24"/>
    <w:rsid w:val="000E5B30"/>
    <w:rsid w:val="000E6C9A"/>
    <w:rsid w:val="000F0F83"/>
    <w:rsid w:val="000F32AB"/>
    <w:rsid w:val="000F4333"/>
    <w:rsid w:val="000F4C48"/>
    <w:rsid w:val="000F4DED"/>
    <w:rsid w:val="000F51FB"/>
    <w:rsid w:val="000F525A"/>
    <w:rsid w:val="000F5AB8"/>
    <w:rsid w:val="000F6691"/>
    <w:rsid w:val="000F7425"/>
    <w:rsid w:val="000F74A3"/>
    <w:rsid w:val="000F7BF7"/>
    <w:rsid w:val="001005F5"/>
    <w:rsid w:val="00101448"/>
    <w:rsid w:val="00101ED1"/>
    <w:rsid w:val="00102CFD"/>
    <w:rsid w:val="0010339A"/>
    <w:rsid w:val="0010402D"/>
    <w:rsid w:val="0010427B"/>
    <w:rsid w:val="00105B5D"/>
    <w:rsid w:val="00106D5B"/>
    <w:rsid w:val="00107DF2"/>
    <w:rsid w:val="00111061"/>
    <w:rsid w:val="001119EE"/>
    <w:rsid w:val="00111A9E"/>
    <w:rsid w:val="00111ACB"/>
    <w:rsid w:val="00113275"/>
    <w:rsid w:val="00114ABA"/>
    <w:rsid w:val="00115150"/>
    <w:rsid w:val="00115398"/>
    <w:rsid w:val="001156ED"/>
    <w:rsid w:val="00115DCF"/>
    <w:rsid w:val="001167B2"/>
    <w:rsid w:val="00117184"/>
    <w:rsid w:val="00121B5A"/>
    <w:rsid w:val="001223D3"/>
    <w:rsid w:val="00123FCB"/>
    <w:rsid w:val="00124796"/>
    <w:rsid w:val="00124BC9"/>
    <w:rsid w:val="0013139E"/>
    <w:rsid w:val="00131907"/>
    <w:rsid w:val="00132E38"/>
    <w:rsid w:val="0013316B"/>
    <w:rsid w:val="001336B6"/>
    <w:rsid w:val="00133CFB"/>
    <w:rsid w:val="00133F0E"/>
    <w:rsid w:val="001345A3"/>
    <w:rsid w:val="00135B22"/>
    <w:rsid w:val="001363F9"/>
    <w:rsid w:val="00136D03"/>
    <w:rsid w:val="00137B85"/>
    <w:rsid w:val="00140D1A"/>
    <w:rsid w:val="001416DD"/>
    <w:rsid w:val="001439EB"/>
    <w:rsid w:val="00143B92"/>
    <w:rsid w:val="001447C4"/>
    <w:rsid w:val="00144F8E"/>
    <w:rsid w:val="001450E0"/>
    <w:rsid w:val="001450F5"/>
    <w:rsid w:val="00145219"/>
    <w:rsid w:val="00147B5A"/>
    <w:rsid w:val="00147DDB"/>
    <w:rsid w:val="0015024A"/>
    <w:rsid w:val="00150735"/>
    <w:rsid w:val="001509CB"/>
    <w:rsid w:val="00152E53"/>
    <w:rsid w:val="0015339C"/>
    <w:rsid w:val="00153780"/>
    <w:rsid w:val="001537D8"/>
    <w:rsid w:val="00153D29"/>
    <w:rsid w:val="001543E6"/>
    <w:rsid w:val="001551F0"/>
    <w:rsid w:val="00155587"/>
    <w:rsid w:val="00155C18"/>
    <w:rsid w:val="001560BB"/>
    <w:rsid w:val="00156624"/>
    <w:rsid w:val="001567C0"/>
    <w:rsid w:val="00157316"/>
    <w:rsid w:val="00157FF8"/>
    <w:rsid w:val="0016020C"/>
    <w:rsid w:val="001606EC"/>
    <w:rsid w:val="001626FF"/>
    <w:rsid w:val="00163E6D"/>
    <w:rsid w:val="00163FA2"/>
    <w:rsid w:val="00164388"/>
    <w:rsid w:val="001643B0"/>
    <w:rsid w:val="00164F3A"/>
    <w:rsid w:val="001656EE"/>
    <w:rsid w:val="00165A9E"/>
    <w:rsid w:val="00166E93"/>
    <w:rsid w:val="00167B6A"/>
    <w:rsid w:val="001701DE"/>
    <w:rsid w:val="00170E22"/>
    <w:rsid w:val="00171330"/>
    <w:rsid w:val="001718F2"/>
    <w:rsid w:val="0017223A"/>
    <w:rsid w:val="001741D0"/>
    <w:rsid w:val="0017461A"/>
    <w:rsid w:val="00175556"/>
    <w:rsid w:val="001759B9"/>
    <w:rsid w:val="00175F14"/>
    <w:rsid w:val="00177F3E"/>
    <w:rsid w:val="001810E8"/>
    <w:rsid w:val="0018345C"/>
    <w:rsid w:val="00183BCD"/>
    <w:rsid w:val="00183CF4"/>
    <w:rsid w:val="00184310"/>
    <w:rsid w:val="00185787"/>
    <w:rsid w:val="00186C0A"/>
    <w:rsid w:val="0018734E"/>
    <w:rsid w:val="00190022"/>
    <w:rsid w:val="00190B23"/>
    <w:rsid w:val="00190E00"/>
    <w:rsid w:val="001913B3"/>
    <w:rsid w:val="00192E72"/>
    <w:rsid w:val="00193ACD"/>
    <w:rsid w:val="00193D5F"/>
    <w:rsid w:val="001945A0"/>
    <w:rsid w:val="00194A39"/>
    <w:rsid w:val="001957FB"/>
    <w:rsid w:val="0019639E"/>
    <w:rsid w:val="001A0059"/>
    <w:rsid w:val="001A0458"/>
    <w:rsid w:val="001A30D1"/>
    <w:rsid w:val="001A3EC0"/>
    <w:rsid w:val="001A3FC4"/>
    <w:rsid w:val="001A43DD"/>
    <w:rsid w:val="001A54CF"/>
    <w:rsid w:val="001A69A8"/>
    <w:rsid w:val="001A7147"/>
    <w:rsid w:val="001A7422"/>
    <w:rsid w:val="001A7624"/>
    <w:rsid w:val="001A7917"/>
    <w:rsid w:val="001A7E58"/>
    <w:rsid w:val="001B0897"/>
    <w:rsid w:val="001B0A3E"/>
    <w:rsid w:val="001B13BD"/>
    <w:rsid w:val="001B1636"/>
    <w:rsid w:val="001B26E2"/>
    <w:rsid w:val="001B4707"/>
    <w:rsid w:val="001B4B87"/>
    <w:rsid w:val="001B50E3"/>
    <w:rsid w:val="001B5807"/>
    <w:rsid w:val="001B64A3"/>
    <w:rsid w:val="001C162F"/>
    <w:rsid w:val="001C5D62"/>
    <w:rsid w:val="001C5E0F"/>
    <w:rsid w:val="001C5E3F"/>
    <w:rsid w:val="001C62B8"/>
    <w:rsid w:val="001C6317"/>
    <w:rsid w:val="001C7119"/>
    <w:rsid w:val="001D016D"/>
    <w:rsid w:val="001D04DF"/>
    <w:rsid w:val="001D0B6E"/>
    <w:rsid w:val="001D1F21"/>
    <w:rsid w:val="001D24FF"/>
    <w:rsid w:val="001D265F"/>
    <w:rsid w:val="001D46FA"/>
    <w:rsid w:val="001E089B"/>
    <w:rsid w:val="001E12E1"/>
    <w:rsid w:val="001E143D"/>
    <w:rsid w:val="001E14DA"/>
    <w:rsid w:val="001E172C"/>
    <w:rsid w:val="001E18BE"/>
    <w:rsid w:val="001E192A"/>
    <w:rsid w:val="001E1B23"/>
    <w:rsid w:val="001E1E2E"/>
    <w:rsid w:val="001E27C6"/>
    <w:rsid w:val="001E2842"/>
    <w:rsid w:val="001E2DDB"/>
    <w:rsid w:val="001E3197"/>
    <w:rsid w:val="001E5709"/>
    <w:rsid w:val="001E5917"/>
    <w:rsid w:val="001E69EA"/>
    <w:rsid w:val="001E7C47"/>
    <w:rsid w:val="001F09D5"/>
    <w:rsid w:val="001F26D7"/>
    <w:rsid w:val="001F439F"/>
    <w:rsid w:val="001F4588"/>
    <w:rsid w:val="001F46D8"/>
    <w:rsid w:val="001F4E04"/>
    <w:rsid w:val="001F51DF"/>
    <w:rsid w:val="001F5CFF"/>
    <w:rsid w:val="001F6B2F"/>
    <w:rsid w:val="001F75FB"/>
    <w:rsid w:val="00200AA0"/>
    <w:rsid w:val="00200E6E"/>
    <w:rsid w:val="00201100"/>
    <w:rsid w:val="002011A1"/>
    <w:rsid w:val="00201D70"/>
    <w:rsid w:val="002023A0"/>
    <w:rsid w:val="00203A65"/>
    <w:rsid w:val="002056CD"/>
    <w:rsid w:val="002063F7"/>
    <w:rsid w:val="0020684F"/>
    <w:rsid w:val="00206E13"/>
    <w:rsid w:val="002073BE"/>
    <w:rsid w:val="002104DE"/>
    <w:rsid w:val="0021064C"/>
    <w:rsid w:val="00210683"/>
    <w:rsid w:val="0021079A"/>
    <w:rsid w:val="00210E59"/>
    <w:rsid w:val="00210EF8"/>
    <w:rsid w:val="002129B0"/>
    <w:rsid w:val="00212B89"/>
    <w:rsid w:val="00214432"/>
    <w:rsid w:val="002146DC"/>
    <w:rsid w:val="0021524C"/>
    <w:rsid w:val="0021658F"/>
    <w:rsid w:val="0021676D"/>
    <w:rsid w:val="0021693F"/>
    <w:rsid w:val="00222D20"/>
    <w:rsid w:val="00223741"/>
    <w:rsid w:val="00225045"/>
    <w:rsid w:val="00225ADA"/>
    <w:rsid w:val="00225C59"/>
    <w:rsid w:val="00227495"/>
    <w:rsid w:val="00227A02"/>
    <w:rsid w:val="00227B6B"/>
    <w:rsid w:val="00227E30"/>
    <w:rsid w:val="00230A3A"/>
    <w:rsid w:val="0023151D"/>
    <w:rsid w:val="00232487"/>
    <w:rsid w:val="00232636"/>
    <w:rsid w:val="00232B7A"/>
    <w:rsid w:val="00232EDE"/>
    <w:rsid w:val="00233056"/>
    <w:rsid w:val="00233862"/>
    <w:rsid w:val="00233DC1"/>
    <w:rsid w:val="00234B0F"/>
    <w:rsid w:val="00235508"/>
    <w:rsid w:val="002367CC"/>
    <w:rsid w:val="00237C80"/>
    <w:rsid w:val="00237D73"/>
    <w:rsid w:val="0024028E"/>
    <w:rsid w:val="00240C1D"/>
    <w:rsid w:val="0024181A"/>
    <w:rsid w:val="00241E43"/>
    <w:rsid w:val="00242A68"/>
    <w:rsid w:val="002436CF"/>
    <w:rsid w:val="00243D69"/>
    <w:rsid w:val="002441B3"/>
    <w:rsid w:val="00244A22"/>
    <w:rsid w:val="00244F3E"/>
    <w:rsid w:val="002451B9"/>
    <w:rsid w:val="00245C11"/>
    <w:rsid w:val="002468A6"/>
    <w:rsid w:val="0025018C"/>
    <w:rsid w:val="002507A0"/>
    <w:rsid w:val="00251FED"/>
    <w:rsid w:val="0025200E"/>
    <w:rsid w:val="002520CC"/>
    <w:rsid w:val="002524B1"/>
    <w:rsid w:val="00252CDC"/>
    <w:rsid w:val="0025318A"/>
    <w:rsid w:val="002532F3"/>
    <w:rsid w:val="00253A32"/>
    <w:rsid w:val="00253E6D"/>
    <w:rsid w:val="00254CEB"/>
    <w:rsid w:val="00255DB0"/>
    <w:rsid w:val="002562AD"/>
    <w:rsid w:val="00256692"/>
    <w:rsid w:val="00256CDF"/>
    <w:rsid w:val="00260A92"/>
    <w:rsid w:val="00261E41"/>
    <w:rsid w:val="00262853"/>
    <w:rsid w:val="002649E1"/>
    <w:rsid w:val="0027012B"/>
    <w:rsid w:val="00270C71"/>
    <w:rsid w:val="00270DA7"/>
    <w:rsid w:val="002719F1"/>
    <w:rsid w:val="0027233E"/>
    <w:rsid w:val="00272551"/>
    <w:rsid w:val="002726C1"/>
    <w:rsid w:val="00277E4B"/>
    <w:rsid w:val="002801CE"/>
    <w:rsid w:val="00280593"/>
    <w:rsid w:val="0028120E"/>
    <w:rsid w:val="00281594"/>
    <w:rsid w:val="00281CB0"/>
    <w:rsid w:val="002843AC"/>
    <w:rsid w:val="00284FA5"/>
    <w:rsid w:val="00287177"/>
    <w:rsid w:val="00287544"/>
    <w:rsid w:val="00287FED"/>
    <w:rsid w:val="0029140B"/>
    <w:rsid w:val="00291A2A"/>
    <w:rsid w:val="00292579"/>
    <w:rsid w:val="0029333C"/>
    <w:rsid w:val="0029342D"/>
    <w:rsid w:val="00293E00"/>
    <w:rsid w:val="00294822"/>
    <w:rsid w:val="00294C9E"/>
    <w:rsid w:val="002950EF"/>
    <w:rsid w:val="002951A8"/>
    <w:rsid w:val="00296B63"/>
    <w:rsid w:val="00296FCF"/>
    <w:rsid w:val="0029733D"/>
    <w:rsid w:val="0029733F"/>
    <w:rsid w:val="002977AD"/>
    <w:rsid w:val="00297D1F"/>
    <w:rsid w:val="002A049F"/>
    <w:rsid w:val="002A0774"/>
    <w:rsid w:val="002A1D59"/>
    <w:rsid w:val="002A213A"/>
    <w:rsid w:val="002A3493"/>
    <w:rsid w:val="002A3AB9"/>
    <w:rsid w:val="002A4AB7"/>
    <w:rsid w:val="002A4CDA"/>
    <w:rsid w:val="002A5B89"/>
    <w:rsid w:val="002A754A"/>
    <w:rsid w:val="002B1241"/>
    <w:rsid w:val="002B1918"/>
    <w:rsid w:val="002B294E"/>
    <w:rsid w:val="002B3878"/>
    <w:rsid w:val="002B3BBA"/>
    <w:rsid w:val="002B3E8D"/>
    <w:rsid w:val="002B49DB"/>
    <w:rsid w:val="002B5B04"/>
    <w:rsid w:val="002B668A"/>
    <w:rsid w:val="002B67C1"/>
    <w:rsid w:val="002B7914"/>
    <w:rsid w:val="002C052C"/>
    <w:rsid w:val="002C11E2"/>
    <w:rsid w:val="002C1BCC"/>
    <w:rsid w:val="002C2483"/>
    <w:rsid w:val="002C425A"/>
    <w:rsid w:val="002C5B7B"/>
    <w:rsid w:val="002C60DF"/>
    <w:rsid w:val="002C6518"/>
    <w:rsid w:val="002C6C9D"/>
    <w:rsid w:val="002C6E73"/>
    <w:rsid w:val="002D16ED"/>
    <w:rsid w:val="002D1EDA"/>
    <w:rsid w:val="002D1F7F"/>
    <w:rsid w:val="002D25AA"/>
    <w:rsid w:val="002D2F1F"/>
    <w:rsid w:val="002D386C"/>
    <w:rsid w:val="002D4315"/>
    <w:rsid w:val="002D444C"/>
    <w:rsid w:val="002D5173"/>
    <w:rsid w:val="002D586D"/>
    <w:rsid w:val="002D5F9C"/>
    <w:rsid w:val="002D6DCD"/>
    <w:rsid w:val="002D7D44"/>
    <w:rsid w:val="002E0EB2"/>
    <w:rsid w:val="002E1AD5"/>
    <w:rsid w:val="002E1E0B"/>
    <w:rsid w:val="002E1FDE"/>
    <w:rsid w:val="002E21B7"/>
    <w:rsid w:val="002E36B6"/>
    <w:rsid w:val="002E3CCD"/>
    <w:rsid w:val="002E3D68"/>
    <w:rsid w:val="002E3E05"/>
    <w:rsid w:val="002E4738"/>
    <w:rsid w:val="002E5017"/>
    <w:rsid w:val="002E5A68"/>
    <w:rsid w:val="002E5ADC"/>
    <w:rsid w:val="002E6466"/>
    <w:rsid w:val="002E7332"/>
    <w:rsid w:val="002E7CD8"/>
    <w:rsid w:val="002F134D"/>
    <w:rsid w:val="002F21DD"/>
    <w:rsid w:val="002F2660"/>
    <w:rsid w:val="002F4354"/>
    <w:rsid w:val="002F5E2B"/>
    <w:rsid w:val="002F62E2"/>
    <w:rsid w:val="002F6A48"/>
    <w:rsid w:val="002F6F15"/>
    <w:rsid w:val="00300C78"/>
    <w:rsid w:val="00301239"/>
    <w:rsid w:val="003012F9"/>
    <w:rsid w:val="0030130E"/>
    <w:rsid w:val="00301F89"/>
    <w:rsid w:val="00302C27"/>
    <w:rsid w:val="0030333C"/>
    <w:rsid w:val="0030366A"/>
    <w:rsid w:val="0030407F"/>
    <w:rsid w:val="003043C2"/>
    <w:rsid w:val="00304CEC"/>
    <w:rsid w:val="00305E10"/>
    <w:rsid w:val="00306892"/>
    <w:rsid w:val="00306A83"/>
    <w:rsid w:val="00307C36"/>
    <w:rsid w:val="00311481"/>
    <w:rsid w:val="003115FD"/>
    <w:rsid w:val="00312964"/>
    <w:rsid w:val="00312FCA"/>
    <w:rsid w:val="00313554"/>
    <w:rsid w:val="00315255"/>
    <w:rsid w:val="00315719"/>
    <w:rsid w:val="003175D7"/>
    <w:rsid w:val="003177DF"/>
    <w:rsid w:val="00317C87"/>
    <w:rsid w:val="003230C6"/>
    <w:rsid w:val="00323421"/>
    <w:rsid w:val="0032345E"/>
    <w:rsid w:val="00324199"/>
    <w:rsid w:val="0032421C"/>
    <w:rsid w:val="00325284"/>
    <w:rsid w:val="003265B3"/>
    <w:rsid w:val="00327063"/>
    <w:rsid w:val="00330A46"/>
    <w:rsid w:val="003343A3"/>
    <w:rsid w:val="00334403"/>
    <w:rsid w:val="00334553"/>
    <w:rsid w:val="003351C0"/>
    <w:rsid w:val="0033567D"/>
    <w:rsid w:val="003362DC"/>
    <w:rsid w:val="0033632F"/>
    <w:rsid w:val="003368EC"/>
    <w:rsid w:val="003369AB"/>
    <w:rsid w:val="0034080D"/>
    <w:rsid w:val="00340C72"/>
    <w:rsid w:val="003425F0"/>
    <w:rsid w:val="00342EEA"/>
    <w:rsid w:val="00344FF0"/>
    <w:rsid w:val="00345269"/>
    <w:rsid w:val="0034597E"/>
    <w:rsid w:val="00345D9D"/>
    <w:rsid w:val="003462F7"/>
    <w:rsid w:val="003466D0"/>
    <w:rsid w:val="0035066A"/>
    <w:rsid w:val="003506EA"/>
    <w:rsid w:val="00350EDC"/>
    <w:rsid w:val="00350FB5"/>
    <w:rsid w:val="00350FC3"/>
    <w:rsid w:val="00353015"/>
    <w:rsid w:val="003531A4"/>
    <w:rsid w:val="00353BF9"/>
    <w:rsid w:val="00353CB2"/>
    <w:rsid w:val="00354328"/>
    <w:rsid w:val="00355759"/>
    <w:rsid w:val="0035713C"/>
    <w:rsid w:val="0035721F"/>
    <w:rsid w:val="00357552"/>
    <w:rsid w:val="00357B20"/>
    <w:rsid w:val="00360994"/>
    <w:rsid w:val="00360AD2"/>
    <w:rsid w:val="0036160F"/>
    <w:rsid w:val="00365595"/>
    <w:rsid w:val="00367883"/>
    <w:rsid w:val="00367E93"/>
    <w:rsid w:val="00370967"/>
    <w:rsid w:val="003723F8"/>
    <w:rsid w:val="0037294C"/>
    <w:rsid w:val="003733CD"/>
    <w:rsid w:val="00374BD6"/>
    <w:rsid w:val="003771FD"/>
    <w:rsid w:val="0037749A"/>
    <w:rsid w:val="003808CB"/>
    <w:rsid w:val="00380F20"/>
    <w:rsid w:val="003811C0"/>
    <w:rsid w:val="0038154E"/>
    <w:rsid w:val="00382904"/>
    <w:rsid w:val="00384BE3"/>
    <w:rsid w:val="00384F34"/>
    <w:rsid w:val="00384FD4"/>
    <w:rsid w:val="00385CB0"/>
    <w:rsid w:val="00387298"/>
    <w:rsid w:val="00391F91"/>
    <w:rsid w:val="003932A2"/>
    <w:rsid w:val="003940B1"/>
    <w:rsid w:val="00394651"/>
    <w:rsid w:val="00394B3F"/>
    <w:rsid w:val="003959F9"/>
    <w:rsid w:val="00395ED9"/>
    <w:rsid w:val="003960A7"/>
    <w:rsid w:val="003969E2"/>
    <w:rsid w:val="00396A7A"/>
    <w:rsid w:val="00397C7E"/>
    <w:rsid w:val="003A0255"/>
    <w:rsid w:val="003A0677"/>
    <w:rsid w:val="003A0E5F"/>
    <w:rsid w:val="003A2277"/>
    <w:rsid w:val="003A2578"/>
    <w:rsid w:val="003A3259"/>
    <w:rsid w:val="003A37E1"/>
    <w:rsid w:val="003A3E7B"/>
    <w:rsid w:val="003A3F3F"/>
    <w:rsid w:val="003A45FF"/>
    <w:rsid w:val="003A4FFD"/>
    <w:rsid w:val="003A54CC"/>
    <w:rsid w:val="003A5587"/>
    <w:rsid w:val="003A5952"/>
    <w:rsid w:val="003A68D8"/>
    <w:rsid w:val="003A6D59"/>
    <w:rsid w:val="003A78FD"/>
    <w:rsid w:val="003B1DA3"/>
    <w:rsid w:val="003B26FD"/>
    <w:rsid w:val="003B293A"/>
    <w:rsid w:val="003B39E1"/>
    <w:rsid w:val="003B3B66"/>
    <w:rsid w:val="003B4C39"/>
    <w:rsid w:val="003B5367"/>
    <w:rsid w:val="003B5986"/>
    <w:rsid w:val="003B64D3"/>
    <w:rsid w:val="003B6CA5"/>
    <w:rsid w:val="003B7B8D"/>
    <w:rsid w:val="003B7E6E"/>
    <w:rsid w:val="003C1956"/>
    <w:rsid w:val="003C1BBE"/>
    <w:rsid w:val="003C2468"/>
    <w:rsid w:val="003C2BDC"/>
    <w:rsid w:val="003C3043"/>
    <w:rsid w:val="003C426F"/>
    <w:rsid w:val="003C42AA"/>
    <w:rsid w:val="003C4C31"/>
    <w:rsid w:val="003C4F72"/>
    <w:rsid w:val="003C5084"/>
    <w:rsid w:val="003C55A2"/>
    <w:rsid w:val="003C76CA"/>
    <w:rsid w:val="003D063C"/>
    <w:rsid w:val="003D1521"/>
    <w:rsid w:val="003D3A52"/>
    <w:rsid w:val="003D5F50"/>
    <w:rsid w:val="003D788F"/>
    <w:rsid w:val="003D7BA1"/>
    <w:rsid w:val="003E05C9"/>
    <w:rsid w:val="003E117D"/>
    <w:rsid w:val="003E1263"/>
    <w:rsid w:val="003E13B8"/>
    <w:rsid w:val="003E1CFA"/>
    <w:rsid w:val="003E2744"/>
    <w:rsid w:val="003E2C1F"/>
    <w:rsid w:val="003E3387"/>
    <w:rsid w:val="003E3DB5"/>
    <w:rsid w:val="003E43D7"/>
    <w:rsid w:val="003E46E1"/>
    <w:rsid w:val="003E509B"/>
    <w:rsid w:val="003E5456"/>
    <w:rsid w:val="003E576F"/>
    <w:rsid w:val="003E587D"/>
    <w:rsid w:val="003E73C6"/>
    <w:rsid w:val="003E7BDF"/>
    <w:rsid w:val="003F07F6"/>
    <w:rsid w:val="003F1BF1"/>
    <w:rsid w:val="003F2DB2"/>
    <w:rsid w:val="003F2EE3"/>
    <w:rsid w:val="003F3E9A"/>
    <w:rsid w:val="003F4203"/>
    <w:rsid w:val="003F4A26"/>
    <w:rsid w:val="003F5A60"/>
    <w:rsid w:val="003F6421"/>
    <w:rsid w:val="003F72A9"/>
    <w:rsid w:val="003F790E"/>
    <w:rsid w:val="003F7C57"/>
    <w:rsid w:val="003F7D58"/>
    <w:rsid w:val="00401264"/>
    <w:rsid w:val="00401D83"/>
    <w:rsid w:val="00403ACB"/>
    <w:rsid w:val="004040C0"/>
    <w:rsid w:val="004042B2"/>
    <w:rsid w:val="00404471"/>
    <w:rsid w:val="00404E1B"/>
    <w:rsid w:val="004050C2"/>
    <w:rsid w:val="004059E3"/>
    <w:rsid w:val="004064D4"/>
    <w:rsid w:val="00411035"/>
    <w:rsid w:val="004113FA"/>
    <w:rsid w:val="0041193C"/>
    <w:rsid w:val="00411A7F"/>
    <w:rsid w:val="00412253"/>
    <w:rsid w:val="0041253D"/>
    <w:rsid w:val="00412C11"/>
    <w:rsid w:val="00416EFF"/>
    <w:rsid w:val="0041729E"/>
    <w:rsid w:val="00420D01"/>
    <w:rsid w:val="00420EE8"/>
    <w:rsid w:val="00422439"/>
    <w:rsid w:val="00423181"/>
    <w:rsid w:val="004232EF"/>
    <w:rsid w:val="00423AEB"/>
    <w:rsid w:val="00423B1D"/>
    <w:rsid w:val="00423C81"/>
    <w:rsid w:val="0042469C"/>
    <w:rsid w:val="004246ED"/>
    <w:rsid w:val="004248C4"/>
    <w:rsid w:val="00424AAF"/>
    <w:rsid w:val="00424AD2"/>
    <w:rsid w:val="00425BD8"/>
    <w:rsid w:val="00426456"/>
    <w:rsid w:val="00427050"/>
    <w:rsid w:val="00427B24"/>
    <w:rsid w:val="00427F02"/>
    <w:rsid w:val="00430144"/>
    <w:rsid w:val="004312DC"/>
    <w:rsid w:val="004313C7"/>
    <w:rsid w:val="00431D41"/>
    <w:rsid w:val="00431DE4"/>
    <w:rsid w:val="00432F38"/>
    <w:rsid w:val="00433657"/>
    <w:rsid w:val="00434261"/>
    <w:rsid w:val="004355F5"/>
    <w:rsid w:val="0043564F"/>
    <w:rsid w:val="00440912"/>
    <w:rsid w:val="004426CD"/>
    <w:rsid w:val="004434F4"/>
    <w:rsid w:val="004435EE"/>
    <w:rsid w:val="0044406D"/>
    <w:rsid w:val="00444129"/>
    <w:rsid w:val="004443CF"/>
    <w:rsid w:val="00445484"/>
    <w:rsid w:val="004454E6"/>
    <w:rsid w:val="00445622"/>
    <w:rsid w:val="0044605B"/>
    <w:rsid w:val="0044744F"/>
    <w:rsid w:val="00447572"/>
    <w:rsid w:val="00447C29"/>
    <w:rsid w:val="00450015"/>
    <w:rsid w:val="00450309"/>
    <w:rsid w:val="00450C5A"/>
    <w:rsid w:val="004511A3"/>
    <w:rsid w:val="00451876"/>
    <w:rsid w:val="00451889"/>
    <w:rsid w:val="00453999"/>
    <w:rsid w:val="00454795"/>
    <w:rsid w:val="0045492A"/>
    <w:rsid w:val="00454BCF"/>
    <w:rsid w:val="004553E3"/>
    <w:rsid w:val="004556B8"/>
    <w:rsid w:val="0045623D"/>
    <w:rsid w:val="004563E6"/>
    <w:rsid w:val="0045646F"/>
    <w:rsid w:val="0045662E"/>
    <w:rsid w:val="00456F2E"/>
    <w:rsid w:val="0045715F"/>
    <w:rsid w:val="00457556"/>
    <w:rsid w:val="0046133B"/>
    <w:rsid w:val="004616CB"/>
    <w:rsid w:val="00461A69"/>
    <w:rsid w:val="00461B4B"/>
    <w:rsid w:val="0046266D"/>
    <w:rsid w:val="0046474D"/>
    <w:rsid w:val="00464A64"/>
    <w:rsid w:val="004650C0"/>
    <w:rsid w:val="004651D8"/>
    <w:rsid w:val="00465B62"/>
    <w:rsid w:val="004668D0"/>
    <w:rsid w:val="004669AE"/>
    <w:rsid w:val="004673C0"/>
    <w:rsid w:val="0047064D"/>
    <w:rsid w:val="00471A6E"/>
    <w:rsid w:val="00471ACD"/>
    <w:rsid w:val="00471D49"/>
    <w:rsid w:val="004723C5"/>
    <w:rsid w:val="0047284D"/>
    <w:rsid w:val="004734C5"/>
    <w:rsid w:val="0047365A"/>
    <w:rsid w:val="00473DAB"/>
    <w:rsid w:val="00475F5B"/>
    <w:rsid w:val="00476CEE"/>
    <w:rsid w:val="00480490"/>
    <w:rsid w:val="004811C6"/>
    <w:rsid w:val="004817C2"/>
    <w:rsid w:val="0048242B"/>
    <w:rsid w:val="00483BAF"/>
    <w:rsid w:val="00483BE9"/>
    <w:rsid w:val="00484056"/>
    <w:rsid w:val="0048458E"/>
    <w:rsid w:val="00484B29"/>
    <w:rsid w:val="00484B57"/>
    <w:rsid w:val="00486056"/>
    <w:rsid w:val="004876F5"/>
    <w:rsid w:val="004902C0"/>
    <w:rsid w:val="00490775"/>
    <w:rsid w:val="004908A9"/>
    <w:rsid w:val="00490A58"/>
    <w:rsid w:val="00491B12"/>
    <w:rsid w:val="0049204D"/>
    <w:rsid w:val="0049232F"/>
    <w:rsid w:val="00493350"/>
    <w:rsid w:val="00493F14"/>
    <w:rsid w:val="00493F84"/>
    <w:rsid w:val="00494B0D"/>
    <w:rsid w:val="00494BE1"/>
    <w:rsid w:val="00494E6B"/>
    <w:rsid w:val="00494F15"/>
    <w:rsid w:val="004952C8"/>
    <w:rsid w:val="00495477"/>
    <w:rsid w:val="00496A88"/>
    <w:rsid w:val="004A2C02"/>
    <w:rsid w:val="004A349D"/>
    <w:rsid w:val="004A3FC6"/>
    <w:rsid w:val="004A437F"/>
    <w:rsid w:val="004A44B7"/>
    <w:rsid w:val="004A48D9"/>
    <w:rsid w:val="004A5AEB"/>
    <w:rsid w:val="004A5D4D"/>
    <w:rsid w:val="004A68FB"/>
    <w:rsid w:val="004A6C72"/>
    <w:rsid w:val="004A7165"/>
    <w:rsid w:val="004B184A"/>
    <w:rsid w:val="004B29D7"/>
    <w:rsid w:val="004B37F6"/>
    <w:rsid w:val="004B3CE0"/>
    <w:rsid w:val="004B4244"/>
    <w:rsid w:val="004B50C0"/>
    <w:rsid w:val="004B58E0"/>
    <w:rsid w:val="004B5B8B"/>
    <w:rsid w:val="004B6A40"/>
    <w:rsid w:val="004C07CE"/>
    <w:rsid w:val="004C0857"/>
    <w:rsid w:val="004C08C0"/>
    <w:rsid w:val="004C1258"/>
    <w:rsid w:val="004C1891"/>
    <w:rsid w:val="004C1C9C"/>
    <w:rsid w:val="004C26C4"/>
    <w:rsid w:val="004C288D"/>
    <w:rsid w:val="004C3583"/>
    <w:rsid w:val="004C47BC"/>
    <w:rsid w:val="004C4D82"/>
    <w:rsid w:val="004C5E2F"/>
    <w:rsid w:val="004C6D9D"/>
    <w:rsid w:val="004C7192"/>
    <w:rsid w:val="004D047F"/>
    <w:rsid w:val="004D093A"/>
    <w:rsid w:val="004D1B51"/>
    <w:rsid w:val="004D1C10"/>
    <w:rsid w:val="004D1E5E"/>
    <w:rsid w:val="004D455F"/>
    <w:rsid w:val="004D51C5"/>
    <w:rsid w:val="004D7A5A"/>
    <w:rsid w:val="004D7FA7"/>
    <w:rsid w:val="004E1A0C"/>
    <w:rsid w:val="004E1A55"/>
    <w:rsid w:val="004E1C11"/>
    <w:rsid w:val="004E24CC"/>
    <w:rsid w:val="004E30C6"/>
    <w:rsid w:val="004E5667"/>
    <w:rsid w:val="004E58C2"/>
    <w:rsid w:val="004E5C93"/>
    <w:rsid w:val="004E6304"/>
    <w:rsid w:val="004E63D9"/>
    <w:rsid w:val="004E662E"/>
    <w:rsid w:val="004E6DB4"/>
    <w:rsid w:val="004E7064"/>
    <w:rsid w:val="004E7A86"/>
    <w:rsid w:val="004F015F"/>
    <w:rsid w:val="004F02B9"/>
    <w:rsid w:val="004F07FD"/>
    <w:rsid w:val="004F0F6F"/>
    <w:rsid w:val="004F11A0"/>
    <w:rsid w:val="004F16E6"/>
    <w:rsid w:val="004F1F32"/>
    <w:rsid w:val="004F2F7D"/>
    <w:rsid w:val="004F31CD"/>
    <w:rsid w:val="004F4182"/>
    <w:rsid w:val="004F560B"/>
    <w:rsid w:val="004F5B9C"/>
    <w:rsid w:val="004F613C"/>
    <w:rsid w:val="00500EBA"/>
    <w:rsid w:val="0050242F"/>
    <w:rsid w:val="005028F1"/>
    <w:rsid w:val="0050349F"/>
    <w:rsid w:val="00503657"/>
    <w:rsid w:val="00503944"/>
    <w:rsid w:val="00504963"/>
    <w:rsid w:val="00504A19"/>
    <w:rsid w:val="00504BE0"/>
    <w:rsid w:val="00505BE0"/>
    <w:rsid w:val="00506E70"/>
    <w:rsid w:val="00507287"/>
    <w:rsid w:val="005072CF"/>
    <w:rsid w:val="005078B2"/>
    <w:rsid w:val="00507A0F"/>
    <w:rsid w:val="00507E4C"/>
    <w:rsid w:val="005101BD"/>
    <w:rsid w:val="00510393"/>
    <w:rsid w:val="005113D1"/>
    <w:rsid w:val="00511CD4"/>
    <w:rsid w:val="005123E7"/>
    <w:rsid w:val="005128D7"/>
    <w:rsid w:val="00513394"/>
    <w:rsid w:val="005143FD"/>
    <w:rsid w:val="00514F28"/>
    <w:rsid w:val="005153A2"/>
    <w:rsid w:val="00517029"/>
    <w:rsid w:val="00517113"/>
    <w:rsid w:val="0051714E"/>
    <w:rsid w:val="00517347"/>
    <w:rsid w:val="00520071"/>
    <w:rsid w:val="00520627"/>
    <w:rsid w:val="0052105A"/>
    <w:rsid w:val="00521CA0"/>
    <w:rsid w:val="00522D20"/>
    <w:rsid w:val="005233CF"/>
    <w:rsid w:val="00523845"/>
    <w:rsid w:val="00523C4C"/>
    <w:rsid w:val="005241FB"/>
    <w:rsid w:val="0052514C"/>
    <w:rsid w:val="00525353"/>
    <w:rsid w:val="005261CB"/>
    <w:rsid w:val="00526564"/>
    <w:rsid w:val="00526741"/>
    <w:rsid w:val="00526981"/>
    <w:rsid w:val="00531B64"/>
    <w:rsid w:val="00532432"/>
    <w:rsid w:val="005334F9"/>
    <w:rsid w:val="005336B9"/>
    <w:rsid w:val="00533762"/>
    <w:rsid w:val="0053467B"/>
    <w:rsid w:val="00534B17"/>
    <w:rsid w:val="0053565A"/>
    <w:rsid w:val="00535986"/>
    <w:rsid w:val="00535EB4"/>
    <w:rsid w:val="005367D2"/>
    <w:rsid w:val="005370B7"/>
    <w:rsid w:val="00537ABA"/>
    <w:rsid w:val="00537FEF"/>
    <w:rsid w:val="005422CA"/>
    <w:rsid w:val="00543140"/>
    <w:rsid w:val="005439A3"/>
    <w:rsid w:val="00543D09"/>
    <w:rsid w:val="00545D50"/>
    <w:rsid w:val="005464FC"/>
    <w:rsid w:val="00546607"/>
    <w:rsid w:val="005501CA"/>
    <w:rsid w:val="00550E45"/>
    <w:rsid w:val="00551AC9"/>
    <w:rsid w:val="00551E92"/>
    <w:rsid w:val="005520FB"/>
    <w:rsid w:val="0055304B"/>
    <w:rsid w:val="005534C4"/>
    <w:rsid w:val="005538A4"/>
    <w:rsid w:val="00553E7B"/>
    <w:rsid w:val="00555B7A"/>
    <w:rsid w:val="0055646C"/>
    <w:rsid w:val="00556BF3"/>
    <w:rsid w:val="00556EE7"/>
    <w:rsid w:val="005600B8"/>
    <w:rsid w:val="005608A6"/>
    <w:rsid w:val="00563668"/>
    <w:rsid w:val="00564AEA"/>
    <w:rsid w:val="00565B38"/>
    <w:rsid w:val="005663CA"/>
    <w:rsid w:val="00567211"/>
    <w:rsid w:val="00567710"/>
    <w:rsid w:val="00567CCE"/>
    <w:rsid w:val="0057003A"/>
    <w:rsid w:val="00570712"/>
    <w:rsid w:val="00570AAD"/>
    <w:rsid w:val="00570C93"/>
    <w:rsid w:val="005731FB"/>
    <w:rsid w:val="00573508"/>
    <w:rsid w:val="005756F5"/>
    <w:rsid w:val="00575CED"/>
    <w:rsid w:val="00576E70"/>
    <w:rsid w:val="0057762D"/>
    <w:rsid w:val="005806AE"/>
    <w:rsid w:val="00580904"/>
    <w:rsid w:val="00581147"/>
    <w:rsid w:val="00581DC5"/>
    <w:rsid w:val="00581EEB"/>
    <w:rsid w:val="0058201D"/>
    <w:rsid w:val="005823A7"/>
    <w:rsid w:val="00582407"/>
    <w:rsid w:val="00582A18"/>
    <w:rsid w:val="00583147"/>
    <w:rsid w:val="00583D9F"/>
    <w:rsid w:val="00584BC3"/>
    <w:rsid w:val="00586503"/>
    <w:rsid w:val="00587AF3"/>
    <w:rsid w:val="005904FB"/>
    <w:rsid w:val="00591FB2"/>
    <w:rsid w:val="00592064"/>
    <w:rsid w:val="005920CC"/>
    <w:rsid w:val="00592118"/>
    <w:rsid w:val="0059228F"/>
    <w:rsid w:val="005938BA"/>
    <w:rsid w:val="00594340"/>
    <w:rsid w:val="0059451B"/>
    <w:rsid w:val="005948CB"/>
    <w:rsid w:val="00595153"/>
    <w:rsid w:val="00595BE5"/>
    <w:rsid w:val="00596874"/>
    <w:rsid w:val="0059731B"/>
    <w:rsid w:val="0059758E"/>
    <w:rsid w:val="00597C03"/>
    <w:rsid w:val="005A0544"/>
    <w:rsid w:val="005A10FC"/>
    <w:rsid w:val="005A188C"/>
    <w:rsid w:val="005A1BBF"/>
    <w:rsid w:val="005A1BE3"/>
    <w:rsid w:val="005A2952"/>
    <w:rsid w:val="005A2A73"/>
    <w:rsid w:val="005A2E99"/>
    <w:rsid w:val="005A3480"/>
    <w:rsid w:val="005A4192"/>
    <w:rsid w:val="005A4481"/>
    <w:rsid w:val="005A585D"/>
    <w:rsid w:val="005A6515"/>
    <w:rsid w:val="005A6CB9"/>
    <w:rsid w:val="005A7A2C"/>
    <w:rsid w:val="005A7A33"/>
    <w:rsid w:val="005B22B5"/>
    <w:rsid w:val="005B2B22"/>
    <w:rsid w:val="005B2B55"/>
    <w:rsid w:val="005B346D"/>
    <w:rsid w:val="005B5489"/>
    <w:rsid w:val="005B5F9E"/>
    <w:rsid w:val="005B65DE"/>
    <w:rsid w:val="005B79E2"/>
    <w:rsid w:val="005C1C45"/>
    <w:rsid w:val="005C1DB9"/>
    <w:rsid w:val="005C211E"/>
    <w:rsid w:val="005C60C8"/>
    <w:rsid w:val="005C674D"/>
    <w:rsid w:val="005C6A9A"/>
    <w:rsid w:val="005C72B1"/>
    <w:rsid w:val="005D02ED"/>
    <w:rsid w:val="005D066E"/>
    <w:rsid w:val="005D07EE"/>
    <w:rsid w:val="005D2012"/>
    <w:rsid w:val="005D2C53"/>
    <w:rsid w:val="005D2EA6"/>
    <w:rsid w:val="005D36C9"/>
    <w:rsid w:val="005D3B69"/>
    <w:rsid w:val="005D4301"/>
    <w:rsid w:val="005D5001"/>
    <w:rsid w:val="005D5FF5"/>
    <w:rsid w:val="005D7301"/>
    <w:rsid w:val="005D754B"/>
    <w:rsid w:val="005D7F03"/>
    <w:rsid w:val="005E0271"/>
    <w:rsid w:val="005E15CA"/>
    <w:rsid w:val="005E168B"/>
    <w:rsid w:val="005E2BA2"/>
    <w:rsid w:val="005E4245"/>
    <w:rsid w:val="005E4255"/>
    <w:rsid w:val="005E4935"/>
    <w:rsid w:val="005E496C"/>
    <w:rsid w:val="005E4B79"/>
    <w:rsid w:val="005E530C"/>
    <w:rsid w:val="005E7102"/>
    <w:rsid w:val="005F0903"/>
    <w:rsid w:val="005F0BF5"/>
    <w:rsid w:val="005F14F2"/>
    <w:rsid w:val="005F15AB"/>
    <w:rsid w:val="005F2995"/>
    <w:rsid w:val="005F2A21"/>
    <w:rsid w:val="005F2C93"/>
    <w:rsid w:val="005F2CA9"/>
    <w:rsid w:val="005F33AC"/>
    <w:rsid w:val="005F3A6A"/>
    <w:rsid w:val="005F3ACE"/>
    <w:rsid w:val="005F3F37"/>
    <w:rsid w:val="005F3FB4"/>
    <w:rsid w:val="005F4004"/>
    <w:rsid w:val="005F5877"/>
    <w:rsid w:val="005F59B2"/>
    <w:rsid w:val="005F74FF"/>
    <w:rsid w:val="005F7516"/>
    <w:rsid w:val="005F7D66"/>
    <w:rsid w:val="006008C0"/>
    <w:rsid w:val="00600A38"/>
    <w:rsid w:val="00600F62"/>
    <w:rsid w:val="00601056"/>
    <w:rsid w:val="00601515"/>
    <w:rsid w:val="00601571"/>
    <w:rsid w:val="006017B0"/>
    <w:rsid w:val="00601CD7"/>
    <w:rsid w:val="006021D1"/>
    <w:rsid w:val="00602B1F"/>
    <w:rsid w:val="00603607"/>
    <w:rsid w:val="00603CCF"/>
    <w:rsid w:val="00603D44"/>
    <w:rsid w:val="0060479B"/>
    <w:rsid w:val="006060BA"/>
    <w:rsid w:val="0060744F"/>
    <w:rsid w:val="006106F5"/>
    <w:rsid w:val="00611535"/>
    <w:rsid w:val="00612E08"/>
    <w:rsid w:val="00614B42"/>
    <w:rsid w:val="00614D4F"/>
    <w:rsid w:val="0061574A"/>
    <w:rsid w:val="00615794"/>
    <w:rsid w:val="006161F4"/>
    <w:rsid w:val="006163E7"/>
    <w:rsid w:val="00617775"/>
    <w:rsid w:val="0062049F"/>
    <w:rsid w:val="00620FB9"/>
    <w:rsid w:val="00621882"/>
    <w:rsid w:val="006238DE"/>
    <w:rsid w:val="00624A41"/>
    <w:rsid w:val="0062612C"/>
    <w:rsid w:val="00627894"/>
    <w:rsid w:val="006304FC"/>
    <w:rsid w:val="006320F9"/>
    <w:rsid w:val="00632CEB"/>
    <w:rsid w:val="00633512"/>
    <w:rsid w:val="00633B35"/>
    <w:rsid w:val="00633FB7"/>
    <w:rsid w:val="0063439B"/>
    <w:rsid w:val="0063583C"/>
    <w:rsid w:val="00636F13"/>
    <w:rsid w:val="00637338"/>
    <w:rsid w:val="00637919"/>
    <w:rsid w:val="00637AB8"/>
    <w:rsid w:val="00640321"/>
    <w:rsid w:val="00640565"/>
    <w:rsid w:val="0064103F"/>
    <w:rsid w:val="00641E2E"/>
    <w:rsid w:val="00641EDB"/>
    <w:rsid w:val="00642881"/>
    <w:rsid w:val="00642B92"/>
    <w:rsid w:val="00643E7F"/>
    <w:rsid w:val="00644CAE"/>
    <w:rsid w:val="006457BF"/>
    <w:rsid w:val="00646D9E"/>
    <w:rsid w:val="0065001E"/>
    <w:rsid w:val="0065088A"/>
    <w:rsid w:val="0065183B"/>
    <w:rsid w:val="0065280F"/>
    <w:rsid w:val="00653A9E"/>
    <w:rsid w:val="0065427B"/>
    <w:rsid w:val="00654E47"/>
    <w:rsid w:val="006556A5"/>
    <w:rsid w:val="006557C2"/>
    <w:rsid w:val="00655ACD"/>
    <w:rsid w:val="006562DA"/>
    <w:rsid w:val="006568D6"/>
    <w:rsid w:val="0065717B"/>
    <w:rsid w:val="0065745D"/>
    <w:rsid w:val="00657C50"/>
    <w:rsid w:val="00662880"/>
    <w:rsid w:val="00662F6E"/>
    <w:rsid w:val="0066349F"/>
    <w:rsid w:val="0066381A"/>
    <w:rsid w:val="00664049"/>
    <w:rsid w:val="006646B4"/>
    <w:rsid w:val="0066495A"/>
    <w:rsid w:val="00665304"/>
    <w:rsid w:val="00665375"/>
    <w:rsid w:val="00667F25"/>
    <w:rsid w:val="00670D00"/>
    <w:rsid w:val="00670D01"/>
    <w:rsid w:val="006715E4"/>
    <w:rsid w:val="00672354"/>
    <w:rsid w:val="0067256C"/>
    <w:rsid w:val="00672646"/>
    <w:rsid w:val="00672C31"/>
    <w:rsid w:val="00673059"/>
    <w:rsid w:val="0067308C"/>
    <w:rsid w:val="00673090"/>
    <w:rsid w:val="006734E6"/>
    <w:rsid w:val="00673530"/>
    <w:rsid w:val="006736BB"/>
    <w:rsid w:val="0067520F"/>
    <w:rsid w:val="00675ACC"/>
    <w:rsid w:val="00676247"/>
    <w:rsid w:val="006769F9"/>
    <w:rsid w:val="0068049D"/>
    <w:rsid w:val="00680E74"/>
    <w:rsid w:val="006827F4"/>
    <w:rsid w:val="00683034"/>
    <w:rsid w:val="006837C4"/>
    <w:rsid w:val="00684D1D"/>
    <w:rsid w:val="00686271"/>
    <w:rsid w:val="0068631E"/>
    <w:rsid w:val="006865BB"/>
    <w:rsid w:val="00686851"/>
    <w:rsid w:val="00686E1D"/>
    <w:rsid w:val="00687D3B"/>
    <w:rsid w:val="0069102C"/>
    <w:rsid w:val="00692486"/>
    <w:rsid w:val="00694162"/>
    <w:rsid w:val="0069542B"/>
    <w:rsid w:val="0069562D"/>
    <w:rsid w:val="00695BEB"/>
    <w:rsid w:val="006967D2"/>
    <w:rsid w:val="006A06E0"/>
    <w:rsid w:val="006A1565"/>
    <w:rsid w:val="006A22AD"/>
    <w:rsid w:val="006A44E6"/>
    <w:rsid w:val="006A4A8D"/>
    <w:rsid w:val="006A4FE6"/>
    <w:rsid w:val="006A5A42"/>
    <w:rsid w:val="006A6B26"/>
    <w:rsid w:val="006A6C6A"/>
    <w:rsid w:val="006B04EE"/>
    <w:rsid w:val="006B1BD8"/>
    <w:rsid w:val="006B2256"/>
    <w:rsid w:val="006B33BF"/>
    <w:rsid w:val="006B3DC4"/>
    <w:rsid w:val="006B43FB"/>
    <w:rsid w:val="006B5103"/>
    <w:rsid w:val="006B545E"/>
    <w:rsid w:val="006B5D02"/>
    <w:rsid w:val="006B65E8"/>
    <w:rsid w:val="006B6664"/>
    <w:rsid w:val="006B6A01"/>
    <w:rsid w:val="006B6AA9"/>
    <w:rsid w:val="006B6BF4"/>
    <w:rsid w:val="006C0928"/>
    <w:rsid w:val="006C1819"/>
    <w:rsid w:val="006C1959"/>
    <w:rsid w:val="006C25AF"/>
    <w:rsid w:val="006C2B75"/>
    <w:rsid w:val="006C38FC"/>
    <w:rsid w:val="006C3EBB"/>
    <w:rsid w:val="006C4185"/>
    <w:rsid w:val="006C4C35"/>
    <w:rsid w:val="006C6268"/>
    <w:rsid w:val="006C6EF5"/>
    <w:rsid w:val="006C73FC"/>
    <w:rsid w:val="006D0374"/>
    <w:rsid w:val="006D05BB"/>
    <w:rsid w:val="006D063B"/>
    <w:rsid w:val="006D39B2"/>
    <w:rsid w:val="006D3C8B"/>
    <w:rsid w:val="006D3D4F"/>
    <w:rsid w:val="006D3F6B"/>
    <w:rsid w:val="006D42CD"/>
    <w:rsid w:val="006D4F1A"/>
    <w:rsid w:val="006D52E2"/>
    <w:rsid w:val="006D569B"/>
    <w:rsid w:val="006D6087"/>
    <w:rsid w:val="006D6684"/>
    <w:rsid w:val="006D6BBB"/>
    <w:rsid w:val="006D6F73"/>
    <w:rsid w:val="006D70B9"/>
    <w:rsid w:val="006D7D90"/>
    <w:rsid w:val="006E18DB"/>
    <w:rsid w:val="006E2586"/>
    <w:rsid w:val="006E28AA"/>
    <w:rsid w:val="006E410E"/>
    <w:rsid w:val="006E4A85"/>
    <w:rsid w:val="006E74B2"/>
    <w:rsid w:val="006F0188"/>
    <w:rsid w:val="006F0A29"/>
    <w:rsid w:val="006F0C2E"/>
    <w:rsid w:val="006F167D"/>
    <w:rsid w:val="006F18D5"/>
    <w:rsid w:val="006F1F83"/>
    <w:rsid w:val="006F21E8"/>
    <w:rsid w:val="006F42A9"/>
    <w:rsid w:val="006F4EEC"/>
    <w:rsid w:val="006F50EA"/>
    <w:rsid w:val="006F535A"/>
    <w:rsid w:val="006F57A6"/>
    <w:rsid w:val="006F6C6D"/>
    <w:rsid w:val="006F78A9"/>
    <w:rsid w:val="006F7CDA"/>
    <w:rsid w:val="007002E9"/>
    <w:rsid w:val="0070102C"/>
    <w:rsid w:val="00701181"/>
    <w:rsid w:val="00701569"/>
    <w:rsid w:val="0070291B"/>
    <w:rsid w:val="007044FC"/>
    <w:rsid w:val="00704D06"/>
    <w:rsid w:val="00706A1C"/>
    <w:rsid w:val="0070751A"/>
    <w:rsid w:val="00707A08"/>
    <w:rsid w:val="00711203"/>
    <w:rsid w:val="00711DD9"/>
    <w:rsid w:val="00713675"/>
    <w:rsid w:val="007139D1"/>
    <w:rsid w:val="00714164"/>
    <w:rsid w:val="007159D2"/>
    <w:rsid w:val="00716A2E"/>
    <w:rsid w:val="007172D9"/>
    <w:rsid w:val="00717ADE"/>
    <w:rsid w:val="0072037F"/>
    <w:rsid w:val="00722C22"/>
    <w:rsid w:val="00723678"/>
    <w:rsid w:val="007238C9"/>
    <w:rsid w:val="00723974"/>
    <w:rsid w:val="00724183"/>
    <w:rsid w:val="007241DA"/>
    <w:rsid w:val="007248FF"/>
    <w:rsid w:val="0072505F"/>
    <w:rsid w:val="007255BB"/>
    <w:rsid w:val="007261BD"/>
    <w:rsid w:val="007263A6"/>
    <w:rsid w:val="007267E7"/>
    <w:rsid w:val="007277B7"/>
    <w:rsid w:val="00727BC0"/>
    <w:rsid w:val="0073088E"/>
    <w:rsid w:val="00731C9C"/>
    <w:rsid w:val="00733F89"/>
    <w:rsid w:val="0073409B"/>
    <w:rsid w:val="0073493B"/>
    <w:rsid w:val="00735270"/>
    <w:rsid w:val="00736542"/>
    <w:rsid w:val="00736A02"/>
    <w:rsid w:val="00736F58"/>
    <w:rsid w:val="00737519"/>
    <w:rsid w:val="00740910"/>
    <w:rsid w:val="007414E2"/>
    <w:rsid w:val="0074367C"/>
    <w:rsid w:val="0074497F"/>
    <w:rsid w:val="00745D5B"/>
    <w:rsid w:val="007460FC"/>
    <w:rsid w:val="00746484"/>
    <w:rsid w:val="007466F5"/>
    <w:rsid w:val="007504D9"/>
    <w:rsid w:val="00750AA0"/>
    <w:rsid w:val="00752C5E"/>
    <w:rsid w:val="00754486"/>
    <w:rsid w:val="00754B40"/>
    <w:rsid w:val="00756D04"/>
    <w:rsid w:val="00757D2A"/>
    <w:rsid w:val="00757D40"/>
    <w:rsid w:val="00757E3E"/>
    <w:rsid w:val="0076085F"/>
    <w:rsid w:val="007610FC"/>
    <w:rsid w:val="007616C3"/>
    <w:rsid w:val="00764204"/>
    <w:rsid w:val="00764370"/>
    <w:rsid w:val="00767CBB"/>
    <w:rsid w:val="007704A0"/>
    <w:rsid w:val="00770AB9"/>
    <w:rsid w:val="00770C16"/>
    <w:rsid w:val="007714D0"/>
    <w:rsid w:val="00771B17"/>
    <w:rsid w:val="0077228C"/>
    <w:rsid w:val="00772D1D"/>
    <w:rsid w:val="007752CE"/>
    <w:rsid w:val="00775665"/>
    <w:rsid w:val="00775AB6"/>
    <w:rsid w:val="00775C76"/>
    <w:rsid w:val="00776878"/>
    <w:rsid w:val="00776A36"/>
    <w:rsid w:val="00776FF8"/>
    <w:rsid w:val="00777CC8"/>
    <w:rsid w:val="00777CF2"/>
    <w:rsid w:val="00780298"/>
    <w:rsid w:val="00781174"/>
    <w:rsid w:val="00781862"/>
    <w:rsid w:val="0078293D"/>
    <w:rsid w:val="00782C40"/>
    <w:rsid w:val="00783380"/>
    <w:rsid w:val="00783773"/>
    <w:rsid w:val="0078417B"/>
    <w:rsid w:val="00784728"/>
    <w:rsid w:val="00784966"/>
    <w:rsid w:val="00784D8B"/>
    <w:rsid w:val="00784E32"/>
    <w:rsid w:val="007850C0"/>
    <w:rsid w:val="00785202"/>
    <w:rsid w:val="00787AE9"/>
    <w:rsid w:val="00790F5E"/>
    <w:rsid w:val="00791646"/>
    <w:rsid w:val="0079241C"/>
    <w:rsid w:val="00792A7B"/>
    <w:rsid w:val="007932D1"/>
    <w:rsid w:val="00793701"/>
    <w:rsid w:val="00793D0B"/>
    <w:rsid w:val="007955FD"/>
    <w:rsid w:val="00795C11"/>
    <w:rsid w:val="007961A3"/>
    <w:rsid w:val="00797178"/>
    <w:rsid w:val="00797210"/>
    <w:rsid w:val="007A1784"/>
    <w:rsid w:val="007A18C0"/>
    <w:rsid w:val="007A29E6"/>
    <w:rsid w:val="007A3B37"/>
    <w:rsid w:val="007A432D"/>
    <w:rsid w:val="007A6B43"/>
    <w:rsid w:val="007A7044"/>
    <w:rsid w:val="007B0493"/>
    <w:rsid w:val="007B142E"/>
    <w:rsid w:val="007B1529"/>
    <w:rsid w:val="007B1D2A"/>
    <w:rsid w:val="007B2BEF"/>
    <w:rsid w:val="007B33A6"/>
    <w:rsid w:val="007B3B95"/>
    <w:rsid w:val="007B3F5D"/>
    <w:rsid w:val="007B4842"/>
    <w:rsid w:val="007B4A0D"/>
    <w:rsid w:val="007B4AB0"/>
    <w:rsid w:val="007B4B22"/>
    <w:rsid w:val="007B5642"/>
    <w:rsid w:val="007B6AB3"/>
    <w:rsid w:val="007B7B47"/>
    <w:rsid w:val="007C0014"/>
    <w:rsid w:val="007C0447"/>
    <w:rsid w:val="007C1194"/>
    <w:rsid w:val="007C1321"/>
    <w:rsid w:val="007C1D05"/>
    <w:rsid w:val="007C20F4"/>
    <w:rsid w:val="007C30F5"/>
    <w:rsid w:val="007C3C0E"/>
    <w:rsid w:val="007C5C8C"/>
    <w:rsid w:val="007C7EBB"/>
    <w:rsid w:val="007D01DE"/>
    <w:rsid w:val="007D0D4C"/>
    <w:rsid w:val="007D1332"/>
    <w:rsid w:val="007D21E1"/>
    <w:rsid w:val="007D356D"/>
    <w:rsid w:val="007D535F"/>
    <w:rsid w:val="007D5389"/>
    <w:rsid w:val="007D551C"/>
    <w:rsid w:val="007D59AE"/>
    <w:rsid w:val="007D67B9"/>
    <w:rsid w:val="007D680C"/>
    <w:rsid w:val="007D6981"/>
    <w:rsid w:val="007D6BC8"/>
    <w:rsid w:val="007D73B9"/>
    <w:rsid w:val="007D7A19"/>
    <w:rsid w:val="007E053B"/>
    <w:rsid w:val="007E0B2C"/>
    <w:rsid w:val="007E0D2D"/>
    <w:rsid w:val="007E1402"/>
    <w:rsid w:val="007E18CF"/>
    <w:rsid w:val="007E1BFA"/>
    <w:rsid w:val="007E1F96"/>
    <w:rsid w:val="007E2177"/>
    <w:rsid w:val="007E2569"/>
    <w:rsid w:val="007E34DD"/>
    <w:rsid w:val="007E3880"/>
    <w:rsid w:val="007E3CFF"/>
    <w:rsid w:val="007E45B2"/>
    <w:rsid w:val="007E548A"/>
    <w:rsid w:val="007E56CD"/>
    <w:rsid w:val="007E58A3"/>
    <w:rsid w:val="007E67E0"/>
    <w:rsid w:val="007E72A6"/>
    <w:rsid w:val="007E7D42"/>
    <w:rsid w:val="007F0583"/>
    <w:rsid w:val="007F0758"/>
    <w:rsid w:val="007F1C1F"/>
    <w:rsid w:val="007F3758"/>
    <w:rsid w:val="007F41B1"/>
    <w:rsid w:val="007F4B1E"/>
    <w:rsid w:val="007F4E8C"/>
    <w:rsid w:val="007F527B"/>
    <w:rsid w:val="007F5360"/>
    <w:rsid w:val="007F6B54"/>
    <w:rsid w:val="007F7552"/>
    <w:rsid w:val="00800175"/>
    <w:rsid w:val="00800D2A"/>
    <w:rsid w:val="00801393"/>
    <w:rsid w:val="00802431"/>
    <w:rsid w:val="0080273E"/>
    <w:rsid w:val="008029DB"/>
    <w:rsid w:val="00802AC7"/>
    <w:rsid w:val="00802EFD"/>
    <w:rsid w:val="00803224"/>
    <w:rsid w:val="00803544"/>
    <w:rsid w:val="00803860"/>
    <w:rsid w:val="00804695"/>
    <w:rsid w:val="00804897"/>
    <w:rsid w:val="00805024"/>
    <w:rsid w:val="008050B9"/>
    <w:rsid w:val="00805BF2"/>
    <w:rsid w:val="0080626D"/>
    <w:rsid w:val="00806642"/>
    <w:rsid w:val="00806C0F"/>
    <w:rsid w:val="00806E8B"/>
    <w:rsid w:val="00806F5E"/>
    <w:rsid w:val="00810391"/>
    <w:rsid w:val="008108A0"/>
    <w:rsid w:val="00810AED"/>
    <w:rsid w:val="0081191E"/>
    <w:rsid w:val="008119A8"/>
    <w:rsid w:val="00811C54"/>
    <w:rsid w:val="00811E2D"/>
    <w:rsid w:val="00812057"/>
    <w:rsid w:val="00812666"/>
    <w:rsid w:val="00812982"/>
    <w:rsid w:val="00813833"/>
    <w:rsid w:val="008149C8"/>
    <w:rsid w:val="00814AEA"/>
    <w:rsid w:val="00815727"/>
    <w:rsid w:val="00815874"/>
    <w:rsid w:val="008163BD"/>
    <w:rsid w:val="008163F0"/>
    <w:rsid w:val="0081718B"/>
    <w:rsid w:val="008172B6"/>
    <w:rsid w:val="0081760A"/>
    <w:rsid w:val="0082076E"/>
    <w:rsid w:val="008209DF"/>
    <w:rsid w:val="00820EF6"/>
    <w:rsid w:val="00823018"/>
    <w:rsid w:val="00823142"/>
    <w:rsid w:val="00823B6F"/>
    <w:rsid w:val="00830665"/>
    <w:rsid w:val="00831753"/>
    <w:rsid w:val="00831F9E"/>
    <w:rsid w:val="00832276"/>
    <w:rsid w:val="0083448D"/>
    <w:rsid w:val="00834AB5"/>
    <w:rsid w:val="00834C34"/>
    <w:rsid w:val="00834C81"/>
    <w:rsid w:val="00834E58"/>
    <w:rsid w:val="00835B64"/>
    <w:rsid w:val="00836704"/>
    <w:rsid w:val="0084168B"/>
    <w:rsid w:val="00842F09"/>
    <w:rsid w:val="0084349F"/>
    <w:rsid w:val="00843783"/>
    <w:rsid w:val="00844083"/>
    <w:rsid w:val="0084493A"/>
    <w:rsid w:val="00844A40"/>
    <w:rsid w:val="00845798"/>
    <w:rsid w:val="0084681B"/>
    <w:rsid w:val="00847ADD"/>
    <w:rsid w:val="00847CF3"/>
    <w:rsid w:val="00852272"/>
    <w:rsid w:val="00852644"/>
    <w:rsid w:val="0085282B"/>
    <w:rsid w:val="008532F5"/>
    <w:rsid w:val="00854066"/>
    <w:rsid w:val="008542BF"/>
    <w:rsid w:val="00854547"/>
    <w:rsid w:val="00854EDB"/>
    <w:rsid w:val="00855413"/>
    <w:rsid w:val="0085567C"/>
    <w:rsid w:val="00855C66"/>
    <w:rsid w:val="0085726B"/>
    <w:rsid w:val="00857B55"/>
    <w:rsid w:val="00860300"/>
    <w:rsid w:val="008606C8"/>
    <w:rsid w:val="00861CC4"/>
    <w:rsid w:val="008644B0"/>
    <w:rsid w:val="00865143"/>
    <w:rsid w:val="00865A2B"/>
    <w:rsid w:val="008663F4"/>
    <w:rsid w:val="0086698B"/>
    <w:rsid w:val="008675F1"/>
    <w:rsid w:val="008677A3"/>
    <w:rsid w:val="00867E73"/>
    <w:rsid w:val="00873A21"/>
    <w:rsid w:val="008744E0"/>
    <w:rsid w:val="00874905"/>
    <w:rsid w:val="00875A39"/>
    <w:rsid w:val="0088043D"/>
    <w:rsid w:val="00880578"/>
    <w:rsid w:val="0088155D"/>
    <w:rsid w:val="008822D4"/>
    <w:rsid w:val="00882555"/>
    <w:rsid w:val="0088285F"/>
    <w:rsid w:val="00882E86"/>
    <w:rsid w:val="00883BF2"/>
    <w:rsid w:val="00883FB7"/>
    <w:rsid w:val="00884460"/>
    <w:rsid w:val="00885EDB"/>
    <w:rsid w:val="0088745E"/>
    <w:rsid w:val="008876C8"/>
    <w:rsid w:val="008900FA"/>
    <w:rsid w:val="008907F7"/>
    <w:rsid w:val="008910A2"/>
    <w:rsid w:val="00891DA7"/>
    <w:rsid w:val="0089336F"/>
    <w:rsid w:val="00894051"/>
    <w:rsid w:val="00894442"/>
    <w:rsid w:val="00894492"/>
    <w:rsid w:val="008949EB"/>
    <w:rsid w:val="00894B8A"/>
    <w:rsid w:val="00894ED6"/>
    <w:rsid w:val="00895104"/>
    <w:rsid w:val="008957BA"/>
    <w:rsid w:val="00896588"/>
    <w:rsid w:val="00896B55"/>
    <w:rsid w:val="008A1B42"/>
    <w:rsid w:val="008A1C5E"/>
    <w:rsid w:val="008A2616"/>
    <w:rsid w:val="008A2CB5"/>
    <w:rsid w:val="008A2F25"/>
    <w:rsid w:val="008A3173"/>
    <w:rsid w:val="008A33CB"/>
    <w:rsid w:val="008A3A85"/>
    <w:rsid w:val="008B0313"/>
    <w:rsid w:val="008B059E"/>
    <w:rsid w:val="008B1301"/>
    <w:rsid w:val="008B2353"/>
    <w:rsid w:val="008B23A8"/>
    <w:rsid w:val="008B2FA1"/>
    <w:rsid w:val="008B3922"/>
    <w:rsid w:val="008B4D8F"/>
    <w:rsid w:val="008B57BB"/>
    <w:rsid w:val="008B6954"/>
    <w:rsid w:val="008B725D"/>
    <w:rsid w:val="008C0063"/>
    <w:rsid w:val="008C162B"/>
    <w:rsid w:val="008C2AB5"/>
    <w:rsid w:val="008C3966"/>
    <w:rsid w:val="008C3B46"/>
    <w:rsid w:val="008C3DEA"/>
    <w:rsid w:val="008C43E6"/>
    <w:rsid w:val="008C58C1"/>
    <w:rsid w:val="008C62A9"/>
    <w:rsid w:val="008D0B62"/>
    <w:rsid w:val="008D231E"/>
    <w:rsid w:val="008D25C0"/>
    <w:rsid w:val="008D26D7"/>
    <w:rsid w:val="008D2F1F"/>
    <w:rsid w:val="008D4922"/>
    <w:rsid w:val="008D4F4C"/>
    <w:rsid w:val="008D52BC"/>
    <w:rsid w:val="008D634F"/>
    <w:rsid w:val="008D6AB5"/>
    <w:rsid w:val="008E0206"/>
    <w:rsid w:val="008E2808"/>
    <w:rsid w:val="008E2FDE"/>
    <w:rsid w:val="008E398E"/>
    <w:rsid w:val="008E3D87"/>
    <w:rsid w:val="008E55C7"/>
    <w:rsid w:val="008E6156"/>
    <w:rsid w:val="008E66A7"/>
    <w:rsid w:val="008E7C41"/>
    <w:rsid w:val="008F01CE"/>
    <w:rsid w:val="008F0D26"/>
    <w:rsid w:val="008F136C"/>
    <w:rsid w:val="008F18E2"/>
    <w:rsid w:val="008F24B0"/>
    <w:rsid w:val="008F29EF"/>
    <w:rsid w:val="008F4F7B"/>
    <w:rsid w:val="008F4FC5"/>
    <w:rsid w:val="008F561B"/>
    <w:rsid w:val="008F77E0"/>
    <w:rsid w:val="00900891"/>
    <w:rsid w:val="0090175E"/>
    <w:rsid w:val="00901DF6"/>
    <w:rsid w:val="00901E97"/>
    <w:rsid w:val="00902055"/>
    <w:rsid w:val="00902E5A"/>
    <w:rsid w:val="0090392E"/>
    <w:rsid w:val="00904069"/>
    <w:rsid w:val="009040EA"/>
    <w:rsid w:val="009041F4"/>
    <w:rsid w:val="009045C5"/>
    <w:rsid w:val="00905102"/>
    <w:rsid w:val="00905139"/>
    <w:rsid w:val="009062C9"/>
    <w:rsid w:val="00907622"/>
    <w:rsid w:val="009105B8"/>
    <w:rsid w:val="009106CA"/>
    <w:rsid w:val="009107F1"/>
    <w:rsid w:val="009108F3"/>
    <w:rsid w:val="009113C5"/>
    <w:rsid w:val="00911534"/>
    <w:rsid w:val="009115EA"/>
    <w:rsid w:val="00912AD1"/>
    <w:rsid w:val="00912EE2"/>
    <w:rsid w:val="0091324C"/>
    <w:rsid w:val="00913671"/>
    <w:rsid w:val="009136C2"/>
    <w:rsid w:val="00914510"/>
    <w:rsid w:val="00914969"/>
    <w:rsid w:val="00916EF4"/>
    <w:rsid w:val="0091735D"/>
    <w:rsid w:val="009202F6"/>
    <w:rsid w:val="00921032"/>
    <w:rsid w:val="00921B4B"/>
    <w:rsid w:val="00921E29"/>
    <w:rsid w:val="00922780"/>
    <w:rsid w:val="00922B55"/>
    <w:rsid w:val="00924B00"/>
    <w:rsid w:val="0092576F"/>
    <w:rsid w:val="00925B76"/>
    <w:rsid w:val="009279A5"/>
    <w:rsid w:val="00927A21"/>
    <w:rsid w:val="00927AA6"/>
    <w:rsid w:val="00927F5E"/>
    <w:rsid w:val="009306DA"/>
    <w:rsid w:val="00930B2B"/>
    <w:rsid w:val="00931046"/>
    <w:rsid w:val="009312E5"/>
    <w:rsid w:val="009349A0"/>
    <w:rsid w:val="009363D0"/>
    <w:rsid w:val="009370D4"/>
    <w:rsid w:val="0093761F"/>
    <w:rsid w:val="00937B6A"/>
    <w:rsid w:val="00937E73"/>
    <w:rsid w:val="009408A6"/>
    <w:rsid w:val="009410B2"/>
    <w:rsid w:val="00941657"/>
    <w:rsid w:val="00942056"/>
    <w:rsid w:val="009431D6"/>
    <w:rsid w:val="00943A83"/>
    <w:rsid w:val="00943E6D"/>
    <w:rsid w:val="00944565"/>
    <w:rsid w:val="00944657"/>
    <w:rsid w:val="0094591A"/>
    <w:rsid w:val="00947830"/>
    <w:rsid w:val="009505C7"/>
    <w:rsid w:val="00950BE2"/>
    <w:rsid w:val="0095105D"/>
    <w:rsid w:val="00951419"/>
    <w:rsid w:val="00951B37"/>
    <w:rsid w:val="009533C4"/>
    <w:rsid w:val="009537F4"/>
    <w:rsid w:val="00953EC0"/>
    <w:rsid w:val="00953FDD"/>
    <w:rsid w:val="0095436C"/>
    <w:rsid w:val="00954F6A"/>
    <w:rsid w:val="00956521"/>
    <w:rsid w:val="00956EB9"/>
    <w:rsid w:val="00956F2D"/>
    <w:rsid w:val="00957157"/>
    <w:rsid w:val="00957544"/>
    <w:rsid w:val="009605DC"/>
    <w:rsid w:val="00960F77"/>
    <w:rsid w:val="00961632"/>
    <w:rsid w:val="00961769"/>
    <w:rsid w:val="0096255D"/>
    <w:rsid w:val="00962A83"/>
    <w:rsid w:val="00965050"/>
    <w:rsid w:val="0096507A"/>
    <w:rsid w:val="0096590F"/>
    <w:rsid w:val="00965F96"/>
    <w:rsid w:val="009662E1"/>
    <w:rsid w:val="00966BB6"/>
    <w:rsid w:val="00967143"/>
    <w:rsid w:val="00967460"/>
    <w:rsid w:val="0096758C"/>
    <w:rsid w:val="0097022F"/>
    <w:rsid w:val="009736C0"/>
    <w:rsid w:val="009736F2"/>
    <w:rsid w:val="00973A09"/>
    <w:rsid w:val="00973B0F"/>
    <w:rsid w:val="00973E90"/>
    <w:rsid w:val="00974A97"/>
    <w:rsid w:val="00976D43"/>
    <w:rsid w:val="00977A37"/>
    <w:rsid w:val="00981EA7"/>
    <w:rsid w:val="009829F6"/>
    <w:rsid w:val="00982CF9"/>
    <w:rsid w:val="0098370B"/>
    <w:rsid w:val="00984176"/>
    <w:rsid w:val="0098620A"/>
    <w:rsid w:val="0098663E"/>
    <w:rsid w:val="00990B0C"/>
    <w:rsid w:val="00990B0D"/>
    <w:rsid w:val="00990FDD"/>
    <w:rsid w:val="009912B9"/>
    <w:rsid w:val="009915E3"/>
    <w:rsid w:val="009929C8"/>
    <w:rsid w:val="00992C38"/>
    <w:rsid w:val="00992CE9"/>
    <w:rsid w:val="00995109"/>
    <w:rsid w:val="009951C9"/>
    <w:rsid w:val="00996741"/>
    <w:rsid w:val="00996F71"/>
    <w:rsid w:val="0099719D"/>
    <w:rsid w:val="009A02E5"/>
    <w:rsid w:val="009A10CA"/>
    <w:rsid w:val="009A1CA5"/>
    <w:rsid w:val="009A2ECE"/>
    <w:rsid w:val="009A3827"/>
    <w:rsid w:val="009A3AFB"/>
    <w:rsid w:val="009A3D60"/>
    <w:rsid w:val="009A4457"/>
    <w:rsid w:val="009A4BBD"/>
    <w:rsid w:val="009A5030"/>
    <w:rsid w:val="009A62EA"/>
    <w:rsid w:val="009A6B0F"/>
    <w:rsid w:val="009B0080"/>
    <w:rsid w:val="009B0C19"/>
    <w:rsid w:val="009B2AD5"/>
    <w:rsid w:val="009B3B5D"/>
    <w:rsid w:val="009B3EC5"/>
    <w:rsid w:val="009B444D"/>
    <w:rsid w:val="009B5986"/>
    <w:rsid w:val="009B6FD6"/>
    <w:rsid w:val="009B74C2"/>
    <w:rsid w:val="009B7AAE"/>
    <w:rsid w:val="009B7FAA"/>
    <w:rsid w:val="009C1A63"/>
    <w:rsid w:val="009C1B77"/>
    <w:rsid w:val="009C235E"/>
    <w:rsid w:val="009C243E"/>
    <w:rsid w:val="009C2D55"/>
    <w:rsid w:val="009C6F2A"/>
    <w:rsid w:val="009C73DC"/>
    <w:rsid w:val="009D0235"/>
    <w:rsid w:val="009D2973"/>
    <w:rsid w:val="009D2E9E"/>
    <w:rsid w:val="009D366C"/>
    <w:rsid w:val="009D4B73"/>
    <w:rsid w:val="009D66F5"/>
    <w:rsid w:val="009D6938"/>
    <w:rsid w:val="009D6A5F"/>
    <w:rsid w:val="009D756F"/>
    <w:rsid w:val="009D7647"/>
    <w:rsid w:val="009E044A"/>
    <w:rsid w:val="009E0C30"/>
    <w:rsid w:val="009E122C"/>
    <w:rsid w:val="009E1310"/>
    <w:rsid w:val="009E15DC"/>
    <w:rsid w:val="009E193C"/>
    <w:rsid w:val="009E1C3C"/>
    <w:rsid w:val="009E1C52"/>
    <w:rsid w:val="009E22F1"/>
    <w:rsid w:val="009E398A"/>
    <w:rsid w:val="009E51EC"/>
    <w:rsid w:val="009E67EF"/>
    <w:rsid w:val="009E7177"/>
    <w:rsid w:val="009E73F2"/>
    <w:rsid w:val="009E764C"/>
    <w:rsid w:val="009E7E43"/>
    <w:rsid w:val="009E7E60"/>
    <w:rsid w:val="009F0AC9"/>
    <w:rsid w:val="009F1589"/>
    <w:rsid w:val="009F222D"/>
    <w:rsid w:val="009F2502"/>
    <w:rsid w:val="009F3055"/>
    <w:rsid w:val="009F4348"/>
    <w:rsid w:val="009F50F9"/>
    <w:rsid w:val="009F6D9E"/>
    <w:rsid w:val="009F6F19"/>
    <w:rsid w:val="009F7172"/>
    <w:rsid w:val="009F7F0D"/>
    <w:rsid w:val="009F7FBE"/>
    <w:rsid w:val="00A000FD"/>
    <w:rsid w:val="00A016EF"/>
    <w:rsid w:val="00A02588"/>
    <w:rsid w:val="00A025DB"/>
    <w:rsid w:val="00A0314C"/>
    <w:rsid w:val="00A03380"/>
    <w:rsid w:val="00A041EC"/>
    <w:rsid w:val="00A052AA"/>
    <w:rsid w:val="00A06561"/>
    <w:rsid w:val="00A067D9"/>
    <w:rsid w:val="00A06FB1"/>
    <w:rsid w:val="00A06FF7"/>
    <w:rsid w:val="00A1081C"/>
    <w:rsid w:val="00A11B49"/>
    <w:rsid w:val="00A134C7"/>
    <w:rsid w:val="00A137A3"/>
    <w:rsid w:val="00A13DC7"/>
    <w:rsid w:val="00A146A5"/>
    <w:rsid w:val="00A14E4C"/>
    <w:rsid w:val="00A15551"/>
    <w:rsid w:val="00A17A6E"/>
    <w:rsid w:val="00A17B3D"/>
    <w:rsid w:val="00A17EBA"/>
    <w:rsid w:val="00A20388"/>
    <w:rsid w:val="00A20A09"/>
    <w:rsid w:val="00A21086"/>
    <w:rsid w:val="00A21FFE"/>
    <w:rsid w:val="00A22A47"/>
    <w:rsid w:val="00A232D6"/>
    <w:rsid w:val="00A23712"/>
    <w:rsid w:val="00A238F7"/>
    <w:rsid w:val="00A23922"/>
    <w:rsid w:val="00A2443E"/>
    <w:rsid w:val="00A24DA5"/>
    <w:rsid w:val="00A255DE"/>
    <w:rsid w:val="00A2569B"/>
    <w:rsid w:val="00A25B39"/>
    <w:rsid w:val="00A260C6"/>
    <w:rsid w:val="00A3015A"/>
    <w:rsid w:val="00A31F96"/>
    <w:rsid w:val="00A32837"/>
    <w:rsid w:val="00A32D6B"/>
    <w:rsid w:val="00A33834"/>
    <w:rsid w:val="00A34704"/>
    <w:rsid w:val="00A35051"/>
    <w:rsid w:val="00A35DBA"/>
    <w:rsid w:val="00A35E94"/>
    <w:rsid w:val="00A36833"/>
    <w:rsid w:val="00A37818"/>
    <w:rsid w:val="00A3789F"/>
    <w:rsid w:val="00A37970"/>
    <w:rsid w:val="00A40EA6"/>
    <w:rsid w:val="00A415E1"/>
    <w:rsid w:val="00A43B95"/>
    <w:rsid w:val="00A43D2A"/>
    <w:rsid w:val="00A43E52"/>
    <w:rsid w:val="00A441F6"/>
    <w:rsid w:val="00A44CA6"/>
    <w:rsid w:val="00A44D3E"/>
    <w:rsid w:val="00A456AF"/>
    <w:rsid w:val="00A46ACA"/>
    <w:rsid w:val="00A46F1B"/>
    <w:rsid w:val="00A4718E"/>
    <w:rsid w:val="00A471B3"/>
    <w:rsid w:val="00A47B0B"/>
    <w:rsid w:val="00A53124"/>
    <w:rsid w:val="00A54031"/>
    <w:rsid w:val="00A54032"/>
    <w:rsid w:val="00A541EB"/>
    <w:rsid w:val="00A56849"/>
    <w:rsid w:val="00A57A9E"/>
    <w:rsid w:val="00A57C7D"/>
    <w:rsid w:val="00A60F8C"/>
    <w:rsid w:val="00A61EDC"/>
    <w:rsid w:val="00A63965"/>
    <w:rsid w:val="00A63DA3"/>
    <w:rsid w:val="00A66C92"/>
    <w:rsid w:val="00A67859"/>
    <w:rsid w:val="00A7010B"/>
    <w:rsid w:val="00A719D4"/>
    <w:rsid w:val="00A71F9E"/>
    <w:rsid w:val="00A71FFE"/>
    <w:rsid w:val="00A7318A"/>
    <w:rsid w:val="00A73778"/>
    <w:rsid w:val="00A75040"/>
    <w:rsid w:val="00A766E4"/>
    <w:rsid w:val="00A7674B"/>
    <w:rsid w:val="00A768E2"/>
    <w:rsid w:val="00A77A29"/>
    <w:rsid w:val="00A77B8D"/>
    <w:rsid w:val="00A77C72"/>
    <w:rsid w:val="00A80012"/>
    <w:rsid w:val="00A8069F"/>
    <w:rsid w:val="00A80AE8"/>
    <w:rsid w:val="00A81131"/>
    <w:rsid w:val="00A8230A"/>
    <w:rsid w:val="00A82382"/>
    <w:rsid w:val="00A82839"/>
    <w:rsid w:val="00A82963"/>
    <w:rsid w:val="00A83347"/>
    <w:rsid w:val="00A83443"/>
    <w:rsid w:val="00A83682"/>
    <w:rsid w:val="00A844AE"/>
    <w:rsid w:val="00A84649"/>
    <w:rsid w:val="00A84681"/>
    <w:rsid w:val="00A90318"/>
    <w:rsid w:val="00A905E1"/>
    <w:rsid w:val="00A9088F"/>
    <w:rsid w:val="00A928FC"/>
    <w:rsid w:val="00A92D3A"/>
    <w:rsid w:val="00A932E4"/>
    <w:rsid w:val="00A94A2E"/>
    <w:rsid w:val="00A94F2E"/>
    <w:rsid w:val="00AA080F"/>
    <w:rsid w:val="00AA0D4B"/>
    <w:rsid w:val="00AA1D69"/>
    <w:rsid w:val="00AA26C9"/>
    <w:rsid w:val="00AA2A1B"/>
    <w:rsid w:val="00AA2AD2"/>
    <w:rsid w:val="00AA33AF"/>
    <w:rsid w:val="00AA3A36"/>
    <w:rsid w:val="00AA3E93"/>
    <w:rsid w:val="00AA4719"/>
    <w:rsid w:val="00AA5E8E"/>
    <w:rsid w:val="00AA5FD8"/>
    <w:rsid w:val="00AA64BD"/>
    <w:rsid w:val="00AA677C"/>
    <w:rsid w:val="00AA73D4"/>
    <w:rsid w:val="00AA7BFB"/>
    <w:rsid w:val="00AB03E3"/>
    <w:rsid w:val="00AB06A9"/>
    <w:rsid w:val="00AB091A"/>
    <w:rsid w:val="00AB2E1C"/>
    <w:rsid w:val="00AB3627"/>
    <w:rsid w:val="00AB3749"/>
    <w:rsid w:val="00AB4BC3"/>
    <w:rsid w:val="00AB541D"/>
    <w:rsid w:val="00AB6B18"/>
    <w:rsid w:val="00AB75FC"/>
    <w:rsid w:val="00AB7A34"/>
    <w:rsid w:val="00AC07DE"/>
    <w:rsid w:val="00AC1024"/>
    <w:rsid w:val="00AC1786"/>
    <w:rsid w:val="00AC1E36"/>
    <w:rsid w:val="00AC2EF2"/>
    <w:rsid w:val="00AC3049"/>
    <w:rsid w:val="00AC3341"/>
    <w:rsid w:val="00AC6460"/>
    <w:rsid w:val="00AC6C96"/>
    <w:rsid w:val="00AC6CED"/>
    <w:rsid w:val="00AC70F6"/>
    <w:rsid w:val="00AC7C45"/>
    <w:rsid w:val="00AD1A9F"/>
    <w:rsid w:val="00AD1E41"/>
    <w:rsid w:val="00AD211D"/>
    <w:rsid w:val="00AD2132"/>
    <w:rsid w:val="00AD268A"/>
    <w:rsid w:val="00AD3059"/>
    <w:rsid w:val="00AD30F4"/>
    <w:rsid w:val="00AD3292"/>
    <w:rsid w:val="00AD4C32"/>
    <w:rsid w:val="00AD5630"/>
    <w:rsid w:val="00AD5AF1"/>
    <w:rsid w:val="00AD5B42"/>
    <w:rsid w:val="00AD6BC2"/>
    <w:rsid w:val="00AD7431"/>
    <w:rsid w:val="00AD74DD"/>
    <w:rsid w:val="00AE0441"/>
    <w:rsid w:val="00AE1D43"/>
    <w:rsid w:val="00AE2504"/>
    <w:rsid w:val="00AE2D18"/>
    <w:rsid w:val="00AE5132"/>
    <w:rsid w:val="00AE6705"/>
    <w:rsid w:val="00AE6ADB"/>
    <w:rsid w:val="00AE6DED"/>
    <w:rsid w:val="00AF043F"/>
    <w:rsid w:val="00AF10BE"/>
    <w:rsid w:val="00AF31F8"/>
    <w:rsid w:val="00AF32C0"/>
    <w:rsid w:val="00AF4153"/>
    <w:rsid w:val="00AF423B"/>
    <w:rsid w:val="00AF4DB9"/>
    <w:rsid w:val="00AF504E"/>
    <w:rsid w:val="00AF5694"/>
    <w:rsid w:val="00AF628D"/>
    <w:rsid w:val="00B00ADE"/>
    <w:rsid w:val="00B00CF9"/>
    <w:rsid w:val="00B01368"/>
    <w:rsid w:val="00B01A99"/>
    <w:rsid w:val="00B01E00"/>
    <w:rsid w:val="00B02FF7"/>
    <w:rsid w:val="00B041BF"/>
    <w:rsid w:val="00B04A18"/>
    <w:rsid w:val="00B05515"/>
    <w:rsid w:val="00B05819"/>
    <w:rsid w:val="00B0763E"/>
    <w:rsid w:val="00B10BBA"/>
    <w:rsid w:val="00B11380"/>
    <w:rsid w:val="00B121EF"/>
    <w:rsid w:val="00B13B0B"/>
    <w:rsid w:val="00B142DA"/>
    <w:rsid w:val="00B148BF"/>
    <w:rsid w:val="00B149ED"/>
    <w:rsid w:val="00B14A99"/>
    <w:rsid w:val="00B14D82"/>
    <w:rsid w:val="00B14E82"/>
    <w:rsid w:val="00B14EB8"/>
    <w:rsid w:val="00B16476"/>
    <w:rsid w:val="00B16E72"/>
    <w:rsid w:val="00B16EF8"/>
    <w:rsid w:val="00B16FAD"/>
    <w:rsid w:val="00B17F3A"/>
    <w:rsid w:val="00B2122A"/>
    <w:rsid w:val="00B22A7A"/>
    <w:rsid w:val="00B22CFC"/>
    <w:rsid w:val="00B23063"/>
    <w:rsid w:val="00B2396E"/>
    <w:rsid w:val="00B23F65"/>
    <w:rsid w:val="00B24750"/>
    <w:rsid w:val="00B25E95"/>
    <w:rsid w:val="00B266FE"/>
    <w:rsid w:val="00B268FE"/>
    <w:rsid w:val="00B30688"/>
    <w:rsid w:val="00B316AB"/>
    <w:rsid w:val="00B317F9"/>
    <w:rsid w:val="00B3306E"/>
    <w:rsid w:val="00B34232"/>
    <w:rsid w:val="00B34425"/>
    <w:rsid w:val="00B346CB"/>
    <w:rsid w:val="00B34AEA"/>
    <w:rsid w:val="00B3686A"/>
    <w:rsid w:val="00B36A83"/>
    <w:rsid w:val="00B401C4"/>
    <w:rsid w:val="00B42346"/>
    <w:rsid w:val="00B42A05"/>
    <w:rsid w:val="00B4368E"/>
    <w:rsid w:val="00B436F1"/>
    <w:rsid w:val="00B43878"/>
    <w:rsid w:val="00B43A76"/>
    <w:rsid w:val="00B452FE"/>
    <w:rsid w:val="00B4567E"/>
    <w:rsid w:val="00B463DC"/>
    <w:rsid w:val="00B469A8"/>
    <w:rsid w:val="00B47C41"/>
    <w:rsid w:val="00B47F7F"/>
    <w:rsid w:val="00B50D68"/>
    <w:rsid w:val="00B527D3"/>
    <w:rsid w:val="00B52D89"/>
    <w:rsid w:val="00B52E23"/>
    <w:rsid w:val="00B538B4"/>
    <w:rsid w:val="00B5537B"/>
    <w:rsid w:val="00B5584F"/>
    <w:rsid w:val="00B563E1"/>
    <w:rsid w:val="00B56414"/>
    <w:rsid w:val="00B573F6"/>
    <w:rsid w:val="00B5786C"/>
    <w:rsid w:val="00B60AEC"/>
    <w:rsid w:val="00B61356"/>
    <w:rsid w:val="00B614CE"/>
    <w:rsid w:val="00B61539"/>
    <w:rsid w:val="00B6227E"/>
    <w:rsid w:val="00B62F02"/>
    <w:rsid w:val="00B63783"/>
    <w:rsid w:val="00B6386C"/>
    <w:rsid w:val="00B655AC"/>
    <w:rsid w:val="00B661CE"/>
    <w:rsid w:val="00B7016B"/>
    <w:rsid w:val="00B70D5D"/>
    <w:rsid w:val="00B73776"/>
    <w:rsid w:val="00B74859"/>
    <w:rsid w:val="00B7563C"/>
    <w:rsid w:val="00B759E9"/>
    <w:rsid w:val="00B76318"/>
    <w:rsid w:val="00B766BC"/>
    <w:rsid w:val="00B80012"/>
    <w:rsid w:val="00B8012D"/>
    <w:rsid w:val="00B8025B"/>
    <w:rsid w:val="00B803EA"/>
    <w:rsid w:val="00B80EBF"/>
    <w:rsid w:val="00B81551"/>
    <w:rsid w:val="00B817E9"/>
    <w:rsid w:val="00B835F6"/>
    <w:rsid w:val="00B8474C"/>
    <w:rsid w:val="00B85491"/>
    <w:rsid w:val="00B857EF"/>
    <w:rsid w:val="00B8586E"/>
    <w:rsid w:val="00B86536"/>
    <w:rsid w:val="00B86E6F"/>
    <w:rsid w:val="00B87A42"/>
    <w:rsid w:val="00B87DB3"/>
    <w:rsid w:val="00B90A58"/>
    <w:rsid w:val="00B914CB"/>
    <w:rsid w:val="00B915F1"/>
    <w:rsid w:val="00B92250"/>
    <w:rsid w:val="00B92BC2"/>
    <w:rsid w:val="00B93CD9"/>
    <w:rsid w:val="00B94D70"/>
    <w:rsid w:val="00B952D0"/>
    <w:rsid w:val="00B95C12"/>
    <w:rsid w:val="00B9638C"/>
    <w:rsid w:val="00B966A8"/>
    <w:rsid w:val="00B976BC"/>
    <w:rsid w:val="00B9787F"/>
    <w:rsid w:val="00BA02AF"/>
    <w:rsid w:val="00BA0F44"/>
    <w:rsid w:val="00BA13A8"/>
    <w:rsid w:val="00BA151F"/>
    <w:rsid w:val="00BA1589"/>
    <w:rsid w:val="00BA268D"/>
    <w:rsid w:val="00BA3443"/>
    <w:rsid w:val="00BA5CDA"/>
    <w:rsid w:val="00BA718E"/>
    <w:rsid w:val="00BB1F15"/>
    <w:rsid w:val="00BB26D5"/>
    <w:rsid w:val="00BB2765"/>
    <w:rsid w:val="00BB2DD8"/>
    <w:rsid w:val="00BB4857"/>
    <w:rsid w:val="00BB4990"/>
    <w:rsid w:val="00BB4D48"/>
    <w:rsid w:val="00BB5226"/>
    <w:rsid w:val="00BB5E77"/>
    <w:rsid w:val="00BB6889"/>
    <w:rsid w:val="00BB77A1"/>
    <w:rsid w:val="00BC024B"/>
    <w:rsid w:val="00BC08E2"/>
    <w:rsid w:val="00BC163D"/>
    <w:rsid w:val="00BC19EE"/>
    <w:rsid w:val="00BC1CCE"/>
    <w:rsid w:val="00BC2788"/>
    <w:rsid w:val="00BC40F5"/>
    <w:rsid w:val="00BC431C"/>
    <w:rsid w:val="00BC4DAF"/>
    <w:rsid w:val="00BC5007"/>
    <w:rsid w:val="00BC541D"/>
    <w:rsid w:val="00BC5A4B"/>
    <w:rsid w:val="00BC702B"/>
    <w:rsid w:val="00BD04B8"/>
    <w:rsid w:val="00BD0932"/>
    <w:rsid w:val="00BD0BB1"/>
    <w:rsid w:val="00BD10B6"/>
    <w:rsid w:val="00BD20CA"/>
    <w:rsid w:val="00BD2B9D"/>
    <w:rsid w:val="00BD2C12"/>
    <w:rsid w:val="00BD2F96"/>
    <w:rsid w:val="00BD3441"/>
    <w:rsid w:val="00BD5D3C"/>
    <w:rsid w:val="00BD69BD"/>
    <w:rsid w:val="00BD7EA0"/>
    <w:rsid w:val="00BE06AD"/>
    <w:rsid w:val="00BE1793"/>
    <w:rsid w:val="00BE2143"/>
    <w:rsid w:val="00BE2EA7"/>
    <w:rsid w:val="00BE4A4D"/>
    <w:rsid w:val="00BE4CE3"/>
    <w:rsid w:val="00BE547B"/>
    <w:rsid w:val="00BE6B96"/>
    <w:rsid w:val="00BE705E"/>
    <w:rsid w:val="00BF08ED"/>
    <w:rsid w:val="00BF0C29"/>
    <w:rsid w:val="00BF1042"/>
    <w:rsid w:val="00BF1809"/>
    <w:rsid w:val="00BF2495"/>
    <w:rsid w:val="00BF2A16"/>
    <w:rsid w:val="00BF2E99"/>
    <w:rsid w:val="00BF3158"/>
    <w:rsid w:val="00BF3283"/>
    <w:rsid w:val="00BF4886"/>
    <w:rsid w:val="00BF4B35"/>
    <w:rsid w:val="00BF5E24"/>
    <w:rsid w:val="00BF64F2"/>
    <w:rsid w:val="00BF6C89"/>
    <w:rsid w:val="00BF6F15"/>
    <w:rsid w:val="00BF75BD"/>
    <w:rsid w:val="00BF76DF"/>
    <w:rsid w:val="00C011FC"/>
    <w:rsid w:val="00C016E5"/>
    <w:rsid w:val="00C01A34"/>
    <w:rsid w:val="00C01F81"/>
    <w:rsid w:val="00C02611"/>
    <w:rsid w:val="00C02E4C"/>
    <w:rsid w:val="00C041DD"/>
    <w:rsid w:val="00C043C5"/>
    <w:rsid w:val="00C04913"/>
    <w:rsid w:val="00C05A2E"/>
    <w:rsid w:val="00C05D3A"/>
    <w:rsid w:val="00C10469"/>
    <w:rsid w:val="00C10D03"/>
    <w:rsid w:val="00C116EA"/>
    <w:rsid w:val="00C13470"/>
    <w:rsid w:val="00C143B1"/>
    <w:rsid w:val="00C143DE"/>
    <w:rsid w:val="00C14414"/>
    <w:rsid w:val="00C149B2"/>
    <w:rsid w:val="00C14C2A"/>
    <w:rsid w:val="00C14CF9"/>
    <w:rsid w:val="00C1504D"/>
    <w:rsid w:val="00C15867"/>
    <w:rsid w:val="00C16537"/>
    <w:rsid w:val="00C16679"/>
    <w:rsid w:val="00C17004"/>
    <w:rsid w:val="00C1739E"/>
    <w:rsid w:val="00C21081"/>
    <w:rsid w:val="00C2250F"/>
    <w:rsid w:val="00C2274E"/>
    <w:rsid w:val="00C227B4"/>
    <w:rsid w:val="00C2281A"/>
    <w:rsid w:val="00C22919"/>
    <w:rsid w:val="00C231DC"/>
    <w:rsid w:val="00C240C4"/>
    <w:rsid w:val="00C2506A"/>
    <w:rsid w:val="00C25AEC"/>
    <w:rsid w:val="00C25F78"/>
    <w:rsid w:val="00C26E9D"/>
    <w:rsid w:val="00C26F9D"/>
    <w:rsid w:val="00C279B5"/>
    <w:rsid w:val="00C31355"/>
    <w:rsid w:val="00C31775"/>
    <w:rsid w:val="00C322C1"/>
    <w:rsid w:val="00C32D43"/>
    <w:rsid w:val="00C33670"/>
    <w:rsid w:val="00C337F3"/>
    <w:rsid w:val="00C35200"/>
    <w:rsid w:val="00C35B76"/>
    <w:rsid w:val="00C361BF"/>
    <w:rsid w:val="00C3628F"/>
    <w:rsid w:val="00C3648D"/>
    <w:rsid w:val="00C36A4B"/>
    <w:rsid w:val="00C37005"/>
    <w:rsid w:val="00C37395"/>
    <w:rsid w:val="00C377D7"/>
    <w:rsid w:val="00C37801"/>
    <w:rsid w:val="00C40A8F"/>
    <w:rsid w:val="00C4221C"/>
    <w:rsid w:val="00C428E7"/>
    <w:rsid w:val="00C42A48"/>
    <w:rsid w:val="00C42DA0"/>
    <w:rsid w:val="00C4408E"/>
    <w:rsid w:val="00C44151"/>
    <w:rsid w:val="00C449C1"/>
    <w:rsid w:val="00C44AA5"/>
    <w:rsid w:val="00C44E7D"/>
    <w:rsid w:val="00C44E80"/>
    <w:rsid w:val="00C44FBE"/>
    <w:rsid w:val="00C47573"/>
    <w:rsid w:val="00C51153"/>
    <w:rsid w:val="00C528AC"/>
    <w:rsid w:val="00C52DEE"/>
    <w:rsid w:val="00C532F4"/>
    <w:rsid w:val="00C53442"/>
    <w:rsid w:val="00C53561"/>
    <w:rsid w:val="00C53956"/>
    <w:rsid w:val="00C5429F"/>
    <w:rsid w:val="00C5519D"/>
    <w:rsid w:val="00C561B6"/>
    <w:rsid w:val="00C568A4"/>
    <w:rsid w:val="00C56AA9"/>
    <w:rsid w:val="00C60A69"/>
    <w:rsid w:val="00C61543"/>
    <w:rsid w:val="00C6278C"/>
    <w:rsid w:val="00C63B4B"/>
    <w:rsid w:val="00C65999"/>
    <w:rsid w:val="00C6603D"/>
    <w:rsid w:val="00C667F2"/>
    <w:rsid w:val="00C66E45"/>
    <w:rsid w:val="00C67FAE"/>
    <w:rsid w:val="00C71153"/>
    <w:rsid w:val="00C71A2D"/>
    <w:rsid w:val="00C7208C"/>
    <w:rsid w:val="00C72BCC"/>
    <w:rsid w:val="00C72D4B"/>
    <w:rsid w:val="00C72E45"/>
    <w:rsid w:val="00C73BD1"/>
    <w:rsid w:val="00C741B6"/>
    <w:rsid w:val="00C74928"/>
    <w:rsid w:val="00C75ABA"/>
    <w:rsid w:val="00C75B0C"/>
    <w:rsid w:val="00C76527"/>
    <w:rsid w:val="00C76B92"/>
    <w:rsid w:val="00C77807"/>
    <w:rsid w:val="00C80C7A"/>
    <w:rsid w:val="00C81029"/>
    <w:rsid w:val="00C81B7D"/>
    <w:rsid w:val="00C8236C"/>
    <w:rsid w:val="00C82A29"/>
    <w:rsid w:val="00C842F0"/>
    <w:rsid w:val="00C853FF"/>
    <w:rsid w:val="00C85E87"/>
    <w:rsid w:val="00C8620D"/>
    <w:rsid w:val="00C8646E"/>
    <w:rsid w:val="00C8686B"/>
    <w:rsid w:val="00C86A6D"/>
    <w:rsid w:val="00C86ED8"/>
    <w:rsid w:val="00C86EFA"/>
    <w:rsid w:val="00C873C0"/>
    <w:rsid w:val="00C879AC"/>
    <w:rsid w:val="00C904D4"/>
    <w:rsid w:val="00C90B5C"/>
    <w:rsid w:val="00C90FA8"/>
    <w:rsid w:val="00C913A0"/>
    <w:rsid w:val="00C91A5C"/>
    <w:rsid w:val="00C92B80"/>
    <w:rsid w:val="00C92C17"/>
    <w:rsid w:val="00C92CBA"/>
    <w:rsid w:val="00C92F98"/>
    <w:rsid w:val="00C9304F"/>
    <w:rsid w:val="00C93B3F"/>
    <w:rsid w:val="00C9508C"/>
    <w:rsid w:val="00C962C9"/>
    <w:rsid w:val="00C9668A"/>
    <w:rsid w:val="00C96C1B"/>
    <w:rsid w:val="00C973D6"/>
    <w:rsid w:val="00C97448"/>
    <w:rsid w:val="00CA0B01"/>
    <w:rsid w:val="00CA0FF3"/>
    <w:rsid w:val="00CA1394"/>
    <w:rsid w:val="00CA168A"/>
    <w:rsid w:val="00CA2DE5"/>
    <w:rsid w:val="00CA2F53"/>
    <w:rsid w:val="00CA4685"/>
    <w:rsid w:val="00CA49E7"/>
    <w:rsid w:val="00CA4ED1"/>
    <w:rsid w:val="00CA4F09"/>
    <w:rsid w:val="00CA5EBA"/>
    <w:rsid w:val="00CA64DA"/>
    <w:rsid w:val="00CA6784"/>
    <w:rsid w:val="00CA6854"/>
    <w:rsid w:val="00CA7813"/>
    <w:rsid w:val="00CA7E73"/>
    <w:rsid w:val="00CB0F5C"/>
    <w:rsid w:val="00CB1092"/>
    <w:rsid w:val="00CB2E55"/>
    <w:rsid w:val="00CB334E"/>
    <w:rsid w:val="00CB3751"/>
    <w:rsid w:val="00CB383F"/>
    <w:rsid w:val="00CB3B2E"/>
    <w:rsid w:val="00CB4B9E"/>
    <w:rsid w:val="00CB4F81"/>
    <w:rsid w:val="00CB55D4"/>
    <w:rsid w:val="00CB618C"/>
    <w:rsid w:val="00CB693C"/>
    <w:rsid w:val="00CB71CF"/>
    <w:rsid w:val="00CC00C1"/>
    <w:rsid w:val="00CC1EE8"/>
    <w:rsid w:val="00CC237A"/>
    <w:rsid w:val="00CC2E19"/>
    <w:rsid w:val="00CC329E"/>
    <w:rsid w:val="00CC5F66"/>
    <w:rsid w:val="00CC6032"/>
    <w:rsid w:val="00CD0E31"/>
    <w:rsid w:val="00CD1980"/>
    <w:rsid w:val="00CD3225"/>
    <w:rsid w:val="00CD3973"/>
    <w:rsid w:val="00CD3E25"/>
    <w:rsid w:val="00CD50A9"/>
    <w:rsid w:val="00CD5621"/>
    <w:rsid w:val="00CD667E"/>
    <w:rsid w:val="00CD6E68"/>
    <w:rsid w:val="00CE08C8"/>
    <w:rsid w:val="00CE0C1F"/>
    <w:rsid w:val="00CE11F9"/>
    <w:rsid w:val="00CE1929"/>
    <w:rsid w:val="00CE1A87"/>
    <w:rsid w:val="00CE3A3C"/>
    <w:rsid w:val="00CE47E9"/>
    <w:rsid w:val="00CE4BD2"/>
    <w:rsid w:val="00CE7030"/>
    <w:rsid w:val="00CE70CE"/>
    <w:rsid w:val="00CF00A2"/>
    <w:rsid w:val="00CF0120"/>
    <w:rsid w:val="00CF04D8"/>
    <w:rsid w:val="00CF1516"/>
    <w:rsid w:val="00CF189C"/>
    <w:rsid w:val="00CF241E"/>
    <w:rsid w:val="00CF246D"/>
    <w:rsid w:val="00CF3CEA"/>
    <w:rsid w:val="00CF4EFC"/>
    <w:rsid w:val="00CF5DF4"/>
    <w:rsid w:val="00CF6409"/>
    <w:rsid w:val="00CF6978"/>
    <w:rsid w:val="00CF6A02"/>
    <w:rsid w:val="00CF7874"/>
    <w:rsid w:val="00D0012F"/>
    <w:rsid w:val="00D0175E"/>
    <w:rsid w:val="00D01910"/>
    <w:rsid w:val="00D01DFA"/>
    <w:rsid w:val="00D0327E"/>
    <w:rsid w:val="00D033FF"/>
    <w:rsid w:val="00D038CA"/>
    <w:rsid w:val="00D05519"/>
    <w:rsid w:val="00D05C01"/>
    <w:rsid w:val="00D067C0"/>
    <w:rsid w:val="00D06890"/>
    <w:rsid w:val="00D07F73"/>
    <w:rsid w:val="00D10282"/>
    <w:rsid w:val="00D10775"/>
    <w:rsid w:val="00D11FD5"/>
    <w:rsid w:val="00D1303D"/>
    <w:rsid w:val="00D1331A"/>
    <w:rsid w:val="00D14A69"/>
    <w:rsid w:val="00D21162"/>
    <w:rsid w:val="00D21233"/>
    <w:rsid w:val="00D217DA"/>
    <w:rsid w:val="00D22194"/>
    <w:rsid w:val="00D2270F"/>
    <w:rsid w:val="00D23BD3"/>
    <w:rsid w:val="00D26D72"/>
    <w:rsid w:val="00D26EA6"/>
    <w:rsid w:val="00D3039C"/>
    <w:rsid w:val="00D31007"/>
    <w:rsid w:val="00D31F40"/>
    <w:rsid w:val="00D3260C"/>
    <w:rsid w:val="00D3287B"/>
    <w:rsid w:val="00D32CC9"/>
    <w:rsid w:val="00D33F38"/>
    <w:rsid w:val="00D34F3F"/>
    <w:rsid w:val="00D3570A"/>
    <w:rsid w:val="00D36028"/>
    <w:rsid w:val="00D366AD"/>
    <w:rsid w:val="00D37FC2"/>
    <w:rsid w:val="00D4024A"/>
    <w:rsid w:val="00D40C8A"/>
    <w:rsid w:val="00D424CA"/>
    <w:rsid w:val="00D441EF"/>
    <w:rsid w:val="00D44616"/>
    <w:rsid w:val="00D447F9"/>
    <w:rsid w:val="00D44CA0"/>
    <w:rsid w:val="00D4699E"/>
    <w:rsid w:val="00D46C8D"/>
    <w:rsid w:val="00D47E4F"/>
    <w:rsid w:val="00D500EF"/>
    <w:rsid w:val="00D5089A"/>
    <w:rsid w:val="00D50B70"/>
    <w:rsid w:val="00D52114"/>
    <w:rsid w:val="00D5259D"/>
    <w:rsid w:val="00D52E3B"/>
    <w:rsid w:val="00D53384"/>
    <w:rsid w:val="00D543EC"/>
    <w:rsid w:val="00D54BC3"/>
    <w:rsid w:val="00D5725F"/>
    <w:rsid w:val="00D6253A"/>
    <w:rsid w:val="00D64233"/>
    <w:rsid w:val="00D642B4"/>
    <w:rsid w:val="00D66434"/>
    <w:rsid w:val="00D665C9"/>
    <w:rsid w:val="00D66610"/>
    <w:rsid w:val="00D728FF"/>
    <w:rsid w:val="00D73048"/>
    <w:rsid w:val="00D736CF"/>
    <w:rsid w:val="00D7471D"/>
    <w:rsid w:val="00D74868"/>
    <w:rsid w:val="00D7617C"/>
    <w:rsid w:val="00D770B1"/>
    <w:rsid w:val="00D77827"/>
    <w:rsid w:val="00D807FA"/>
    <w:rsid w:val="00D819E7"/>
    <w:rsid w:val="00D81FF0"/>
    <w:rsid w:val="00D82D6D"/>
    <w:rsid w:val="00D83473"/>
    <w:rsid w:val="00D83C24"/>
    <w:rsid w:val="00D8419A"/>
    <w:rsid w:val="00D84DDC"/>
    <w:rsid w:val="00D878DA"/>
    <w:rsid w:val="00D91F25"/>
    <w:rsid w:val="00D9229B"/>
    <w:rsid w:val="00D92C5F"/>
    <w:rsid w:val="00D93703"/>
    <w:rsid w:val="00D93EE9"/>
    <w:rsid w:val="00D93F06"/>
    <w:rsid w:val="00D943B8"/>
    <w:rsid w:val="00D94FA8"/>
    <w:rsid w:val="00D95A44"/>
    <w:rsid w:val="00D95F30"/>
    <w:rsid w:val="00D96018"/>
    <w:rsid w:val="00D975B6"/>
    <w:rsid w:val="00D97C93"/>
    <w:rsid w:val="00DA0288"/>
    <w:rsid w:val="00DA02DB"/>
    <w:rsid w:val="00DA0891"/>
    <w:rsid w:val="00DA0A26"/>
    <w:rsid w:val="00DA1557"/>
    <w:rsid w:val="00DA1881"/>
    <w:rsid w:val="00DA1FB3"/>
    <w:rsid w:val="00DA2B0C"/>
    <w:rsid w:val="00DA3210"/>
    <w:rsid w:val="00DA445F"/>
    <w:rsid w:val="00DA542F"/>
    <w:rsid w:val="00DA6532"/>
    <w:rsid w:val="00DA6F18"/>
    <w:rsid w:val="00DB0017"/>
    <w:rsid w:val="00DB1309"/>
    <w:rsid w:val="00DB49F0"/>
    <w:rsid w:val="00DB5CFD"/>
    <w:rsid w:val="00DB6694"/>
    <w:rsid w:val="00DB6A8A"/>
    <w:rsid w:val="00DB6B2A"/>
    <w:rsid w:val="00DB74AA"/>
    <w:rsid w:val="00DC0592"/>
    <w:rsid w:val="00DC19C5"/>
    <w:rsid w:val="00DC2493"/>
    <w:rsid w:val="00DC2D2E"/>
    <w:rsid w:val="00DC35F0"/>
    <w:rsid w:val="00DC3AFF"/>
    <w:rsid w:val="00DC7F22"/>
    <w:rsid w:val="00DD004D"/>
    <w:rsid w:val="00DD05AB"/>
    <w:rsid w:val="00DD07F1"/>
    <w:rsid w:val="00DD0A73"/>
    <w:rsid w:val="00DD17A0"/>
    <w:rsid w:val="00DD1FC6"/>
    <w:rsid w:val="00DD2533"/>
    <w:rsid w:val="00DD275E"/>
    <w:rsid w:val="00DD2B6A"/>
    <w:rsid w:val="00DD2FB2"/>
    <w:rsid w:val="00DD3422"/>
    <w:rsid w:val="00DD5ED1"/>
    <w:rsid w:val="00DD6EA8"/>
    <w:rsid w:val="00DE123B"/>
    <w:rsid w:val="00DE1C60"/>
    <w:rsid w:val="00DE241A"/>
    <w:rsid w:val="00DE283D"/>
    <w:rsid w:val="00DE2F6C"/>
    <w:rsid w:val="00DE3C95"/>
    <w:rsid w:val="00DE3FBB"/>
    <w:rsid w:val="00DE4931"/>
    <w:rsid w:val="00DE512F"/>
    <w:rsid w:val="00DE579B"/>
    <w:rsid w:val="00DE7E55"/>
    <w:rsid w:val="00DF0713"/>
    <w:rsid w:val="00DF0D5E"/>
    <w:rsid w:val="00DF1A24"/>
    <w:rsid w:val="00DF3762"/>
    <w:rsid w:val="00DF42CF"/>
    <w:rsid w:val="00DF44B5"/>
    <w:rsid w:val="00DF669B"/>
    <w:rsid w:val="00DF7508"/>
    <w:rsid w:val="00E00C9F"/>
    <w:rsid w:val="00E00E6A"/>
    <w:rsid w:val="00E0139B"/>
    <w:rsid w:val="00E01722"/>
    <w:rsid w:val="00E01737"/>
    <w:rsid w:val="00E01F42"/>
    <w:rsid w:val="00E028BF"/>
    <w:rsid w:val="00E02B93"/>
    <w:rsid w:val="00E03434"/>
    <w:rsid w:val="00E04566"/>
    <w:rsid w:val="00E04CD6"/>
    <w:rsid w:val="00E05A08"/>
    <w:rsid w:val="00E05A27"/>
    <w:rsid w:val="00E06060"/>
    <w:rsid w:val="00E07915"/>
    <w:rsid w:val="00E07966"/>
    <w:rsid w:val="00E101C8"/>
    <w:rsid w:val="00E1305D"/>
    <w:rsid w:val="00E1469E"/>
    <w:rsid w:val="00E153C3"/>
    <w:rsid w:val="00E21005"/>
    <w:rsid w:val="00E21E51"/>
    <w:rsid w:val="00E23382"/>
    <w:rsid w:val="00E233F2"/>
    <w:rsid w:val="00E24480"/>
    <w:rsid w:val="00E24F96"/>
    <w:rsid w:val="00E250EA"/>
    <w:rsid w:val="00E25427"/>
    <w:rsid w:val="00E2599D"/>
    <w:rsid w:val="00E33C28"/>
    <w:rsid w:val="00E34288"/>
    <w:rsid w:val="00E34F9A"/>
    <w:rsid w:val="00E350A9"/>
    <w:rsid w:val="00E35EEC"/>
    <w:rsid w:val="00E373E2"/>
    <w:rsid w:val="00E37A99"/>
    <w:rsid w:val="00E4004B"/>
    <w:rsid w:val="00E4081F"/>
    <w:rsid w:val="00E408CA"/>
    <w:rsid w:val="00E40B08"/>
    <w:rsid w:val="00E41C95"/>
    <w:rsid w:val="00E43EB3"/>
    <w:rsid w:val="00E43FCD"/>
    <w:rsid w:val="00E44426"/>
    <w:rsid w:val="00E444D2"/>
    <w:rsid w:val="00E44A3A"/>
    <w:rsid w:val="00E44D0A"/>
    <w:rsid w:val="00E45E53"/>
    <w:rsid w:val="00E462AA"/>
    <w:rsid w:val="00E46B63"/>
    <w:rsid w:val="00E50193"/>
    <w:rsid w:val="00E50265"/>
    <w:rsid w:val="00E50728"/>
    <w:rsid w:val="00E508D1"/>
    <w:rsid w:val="00E51756"/>
    <w:rsid w:val="00E51826"/>
    <w:rsid w:val="00E51BBC"/>
    <w:rsid w:val="00E53F63"/>
    <w:rsid w:val="00E547AA"/>
    <w:rsid w:val="00E55618"/>
    <w:rsid w:val="00E5571F"/>
    <w:rsid w:val="00E55DBB"/>
    <w:rsid w:val="00E56425"/>
    <w:rsid w:val="00E57B55"/>
    <w:rsid w:val="00E611DB"/>
    <w:rsid w:val="00E619F6"/>
    <w:rsid w:val="00E646B8"/>
    <w:rsid w:val="00E64CC6"/>
    <w:rsid w:val="00E64F2E"/>
    <w:rsid w:val="00E66B72"/>
    <w:rsid w:val="00E676C1"/>
    <w:rsid w:val="00E676CF"/>
    <w:rsid w:val="00E70508"/>
    <w:rsid w:val="00E70866"/>
    <w:rsid w:val="00E7118B"/>
    <w:rsid w:val="00E7146A"/>
    <w:rsid w:val="00E71FA4"/>
    <w:rsid w:val="00E74716"/>
    <w:rsid w:val="00E74AE7"/>
    <w:rsid w:val="00E74B67"/>
    <w:rsid w:val="00E756A2"/>
    <w:rsid w:val="00E75A11"/>
    <w:rsid w:val="00E75A6A"/>
    <w:rsid w:val="00E75C33"/>
    <w:rsid w:val="00E765D1"/>
    <w:rsid w:val="00E76DBE"/>
    <w:rsid w:val="00E77AF9"/>
    <w:rsid w:val="00E801C8"/>
    <w:rsid w:val="00E805EE"/>
    <w:rsid w:val="00E81B50"/>
    <w:rsid w:val="00E8245E"/>
    <w:rsid w:val="00E82A75"/>
    <w:rsid w:val="00E83500"/>
    <w:rsid w:val="00E85258"/>
    <w:rsid w:val="00E857FF"/>
    <w:rsid w:val="00E8630B"/>
    <w:rsid w:val="00E87DCA"/>
    <w:rsid w:val="00E87EAB"/>
    <w:rsid w:val="00E90816"/>
    <w:rsid w:val="00E90B63"/>
    <w:rsid w:val="00E91599"/>
    <w:rsid w:val="00E91778"/>
    <w:rsid w:val="00E9346A"/>
    <w:rsid w:val="00E93D77"/>
    <w:rsid w:val="00E941D5"/>
    <w:rsid w:val="00E94B38"/>
    <w:rsid w:val="00E9541D"/>
    <w:rsid w:val="00E95FBA"/>
    <w:rsid w:val="00E97758"/>
    <w:rsid w:val="00EA02B1"/>
    <w:rsid w:val="00EA0AEC"/>
    <w:rsid w:val="00EA3D48"/>
    <w:rsid w:val="00EA4567"/>
    <w:rsid w:val="00EA5D28"/>
    <w:rsid w:val="00EA6BCC"/>
    <w:rsid w:val="00EA6F13"/>
    <w:rsid w:val="00EA77FB"/>
    <w:rsid w:val="00EA7BFB"/>
    <w:rsid w:val="00EB15C0"/>
    <w:rsid w:val="00EB30F0"/>
    <w:rsid w:val="00EB3394"/>
    <w:rsid w:val="00EB37EF"/>
    <w:rsid w:val="00EB3BF9"/>
    <w:rsid w:val="00EB3FEA"/>
    <w:rsid w:val="00EB494C"/>
    <w:rsid w:val="00EB6152"/>
    <w:rsid w:val="00EC0302"/>
    <w:rsid w:val="00EC068A"/>
    <w:rsid w:val="00EC1FBF"/>
    <w:rsid w:val="00EC24D8"/>
    <w:rsid w:val="00EC30AF"/>
    <w:rsid w:val="00EC3248"/>
    <w:rsid w:val="00EC3D17"/>
    <w:rsid w:val="00EC42E6"/>
    <w:rsid w:val="00EC4D06"/>
    <w:rsid w:val="00EC5373"/>
    <w:rsid w:val="00EC5CD9"/>
    <w:rsid w:val="00EC6FB0"/>
    <w:rsid w:val="00EC72D7"/>
    <w:rsid w:val="00ED125A"/>
    <w:rsid w:val="00ED4B68"/>
    <w:rsid w:val="00ED4FD0"/>
    <w:rsid w:val="00ED5CA8"/>
    <w:rsid w:val="00ED6871"/>
    <w:rsid w:val="00ED69C8"/>
    <w:rsid w:val="00ED7592"/>
    <w:rsid w:val="00ED7721"/>
    <w:rsid w:val="00EE05D1"/>
    <w:rsid w:val="00EE1395"/>
    <w:rsid w:val="00EE1DC5"/>
    <w:rsid w:val="00EE28A6"/>
    <w:rsid w:val="00EE28FE"/>
    <w:rsid w:val="00EE3ED9"/>
    <w:rsid w:val="00EE5727"/>
    <w:rsid w:val="00EE60E5"/>
    <w:rsid w:val="00EE64F0"/>
    <w:rsid w:val="00EE6875"/>
    <w:rsid w:val="00EE68C2"/>
    <w:rsid w:val="00EE6A4D"/>
    <w:rsid w:val="00EE6C20"/>
    <w:rsid w:val="00EE72EF"/>
    <w:rsid w:val="00EF0872"/>
    <w:rsid w:val="00EF1098"/>
    <w:rsid w:val="00EF1539"/>
    <w:rsid w:val="00EF163F"/>
    <w:rsid w:val="00EF3552"/>
    <w:rsid w:val="00EF38F4"/>
    <w:rsid w:val="00EF3FA8"/>
    <w:rsid w:val="00EF40E0"/>
    <w:rsid w:val="00EF42AC"/>
    <w:rsid w:val="00EF4CAE"/>
    <w:rsid w:val="00EF54BD"/>
    <w:rsid w:val="00EF551F"/>
    <w:rsid w:val="00EF65FA"/>
    <w:rsid w:val="00EF6C69"/>
    <w:rsid w:val="00EF6D9C"/>
    <w:rsid w:val="00EF73F6"/>
    <w:rsid w:val="00EF74F9"/>
    <w:rsid w:val="00EF7EB2"/>
    <w:rsid w:val="00F00A73"/>
    <w:rsid w:val="00F00F8A"/>
    <w:rsid w:val="00F0111C"/>
    <w:rsid w:val="00F01503"/>
    <w:rsid w:val="00F01A8C"/>
    <w:rsid w:val="00F01CC2"/>
    <w:rsid w:val="00F02072"/>
    <w:rsid w:val="00F0449E"/>
    <w:rsid w:val="00F04BA4"/>
    <w:rsid w:val="00F05A6A"/>
    <w:rsid w:val="00F06FC6"/>
    <w:rsid w:val="00F076C7"/>
    <w:rsid w:val="00F077E7"/>
    <w:rsid w:val="00F1013B"/>
    <w:rsid w:val="00F121C3"/>
    <w:rsid w:val="00F1377B"/>
    <w:rsid w:val="00F142A6"/>
    <w:rsid w:val="00F14772"/>
    <w:rsid w:val="00F14A53"/>
    <w:rsid w:val="00F15BC9"/>
    <w:rsid w:val="00F167E6"/>
    <w:rsid w:val="00F1692D"/>
    <w:rsid w:val="00F16BEE"/>
    <w:rsid w:val="00F16C4B"/>
    <w:rsid w:val="00F16CE9"/>
    <w:rsid w:val="00F17914"/>
    <w:rsid w:val="00F2091E"/>
    <w:rsid w:val="00F20ACC"/>
    <w:rsid w:val="00F20B6C"/>
    <w:rsid w:val="00F21C73"/>
    <w:rsid w:val="00F22342"/>
    <w:rsid w:val="00F22B3F"/>
    <w:rsid w:val="00F23542"/>
    <w:rsid w:val="00F24356"/>
    <w:rsid w:val="00F24566"/>
    <w:rsid w:val="00F253B8"/>
    <w:rsid w:val="00F254C7"/>
    <w:rsid w:val="00F255D3"/>
    <w:rsid w:val="00F25D5E"/>
    <w:rsid w:val="00F25E11"/>
    <w:rsid w:val="00F26290"/>
    <w:rsid w:val="00F30E62"/>
    <w:rsid w:val="00F3123A"/>
    <w:rsid w:val="00F314B8"/>
    <w:rsid w:val="00F31B6E"/>
    <w:rsid w:val="00F31C3C"/>
    <w:rsid w:val="00F31F25"/>
    <w:rsid w:val="00F329D4"/>
    <w:rsid w:val="00F34E29"/>
    <w:rsid w:val="00F350A8"/>
    <w:rsid w:val="00F3511A"/>
    <w:rsid w:val="00F35A62"/>
    <w:rsid w:val="00F40136"/>
    <w:rsid w:val="00F41345"/>
    <w:rsid w:val="00F4340C"/>
    <w:rsid w:val="00F4367A"/>
    <w:rsid w:val="00F44486"/>
    <w:rsid w:val="00F44ED8"/>
    <w:rsid w:val="00F462F8"/>
    <w:rsid w:val="00F46356"/>
    <w:rsid w:val="00F463F3"/>
    <w:rsid w:val="00F46CB7"/>
    <w:rsid w:val="00F46E29"/>
    <w:rsid w:val="00F47D2B"/>
    <w:rsid w:val="00F502C4"/>
    <w:rsid w:val="00F52B2C"/>
    <w:rsid w:val="00F53223"/>
    <w:rsid w:val="00F53CE2"/>
    <w:rsid w:val="00F55851"/>
    <w:rsid w:val="00F573C2"/>
    <w:rsid w:val="00F5747D"/>
    <w:rsid w:val="00F57551"/>
    <w:rsid w:val="00F57995"/>
    <w:rsid w:val="00F6001D"/>
    <w:rsid w:val="00F60D12"/>
    <w:rsid w:val="00F615A9"/>
    <w:rsid w:val="00F616AD"/>
    <w:rsid w:val="00F6224D"/>
    <w:rsid w:val="00F626A2"/>
    <w:rsid w:val="00F63487"/>
    <w:rsid w:val="00F636F4"/>
    <w:rsid w:val="00F63D92"/>
    <w:rsid w:val="00F63FBF"/>
    <w:rsid w:val="00F6402D"/>
    <w:rsid w:val="00F641DA"/>
    <w:rsid w:val="00F645ED"/>
    <w:rsid w:val="00F646CA"/>
    <w:rsid w:val="00F654F4"/>
    <w:rsid w:val="00F66F86"/>
    <w:rsid w:val="00F6769E"/>
    <w:rsid w:val="00F67F17"/>
    <w:rsid w:val="00F71442"/>
    <w:rsid w:val="00F71927"/>
    <w:rsid w:val="00F71A57"/>
    <w:rsid w:val="00F7298C"/>
    <w:rsid w:val="00F72C41"/>
    <w:rsid w:val="00F72CCB"/>
    <w:rsid w:val="00F7377A"/>
    <w:rsid w:val="00F74748"/>
    <w:rsid w:val="00F7549B"/>
    <w:rsid w:val="00F75598"/>
    <w:rsid w:val="00F76B61"/>
    <w:rsid w:val="00F76E9F"/>
    <w:rsid w:val="00F77EA0"/>
    <w:rsid w:val="00F80279"/>
    <w:rsid w:val="00F80B77"/>
    <w:rsid w:val="00F80E37"/>
    <w:rsid w:val="00F81193"/>
    <w:rsid w:val="00F816C2"/>
    <w:rsid w:val="00F81726"/>
    <w:rsid w:val="00F81BB5"/>
    <w:rsid w:val="00F8251E"/>
    <w:rsid w:val="00F82BBF"/>
    <w:rsid w:val="00F82E9E"/>
    <w:rsid w:val="00F83581"/>
    <w:rsid w:val="00F8383D"/>
    <w:rsid w:val="00F878C6"/>
    <w:rsid w:val="00F87AA0"/>
    <w:rsid w:val="00F87E0F"/>
    <w:rsid w:val="00F9010E"/>
    <w:rsid w:val="00F90B0C"/>
    <w:rsid w:val="00F918BD"/>
    <w:rsid w:val="00F91BFB"/>
    <w:rsid w:val="00F91C6B"/>
    <w:rsid w:val="00F91E06"/>
    <w:rsid w:val="00F9462B"/>
    <w:rsid w:val="00F94707"/>
    <w:rsid w:val="00F948E1"/>
    <w:rsid w:val="00F95537"/>
    <w:rsid w:val="00F960EC"/>
    <w:rsid w:val="00F96498"/>
    <w:rsid w:val="00F96D5D"/>
    <w:rsid w:val="00F9758A"/>
    <w:rsid w:val="00F97F9F"/>
    <w:rsid w:val="00FA00E2"/>
    <w:rsid w:val="00FA0EDA"/>
    <w:rsid w:val="00FA2CFF"/>
    <w:rsid w:val="00FA2FF9"/>
    <w:rsid w:val="00FA3189"/>
    <w:rsid w:val="00FA36B7"/>
    <w:rsid w:val="00FA4385"/>
    <w:rsid w:val="00FA5ABC"/>
    <w:rsid w:val="00FA7258"/>
    <w:rsid w:val="00FA7EA6"/>
    <w:rsid w:val="00FB08E2"/>
    <w:rsid w:val="00FB14CD"/>
    <w:rsid w:val="00FB2F6D"/>
    <w:rsid w:val="00FB370E"/>
    <w:rsid w:val="00FB3804"/>
    <w:rsid w:val="00FB5B6D"/>
    <w:rsid w:val="00FB5DF3"/>
    <w:rsid w:val="00FB5F25"/>
    <w:rsid w:val="00FB6D3C"/>
    <w:rsid w:val="00FB76C6"/>
    <w:rsid w:val="00FB7889"/>
    <w:rsid w:val="00FB7A1B"/>
    <w:rsid w:val="00FB7EA4"/>
    <w:rsid w:val="00FC03CE"/>
    <w:rsid w:val="00FC0F71"/>
    <w:rsid w:val="00FC2EC9"/>
    <w:rsid w:val="00FC35F9"/>
    <w:rsid w:val="00FC3A80"/>
    <w:rsid w:val="00FC5132"/>
    <w:rsid w:val="00FC562A"/>
    <w:rsid w:val="00FC6E6E"/>
    <w:rsid w:val="00FD0234"/>
    <w:rsid w:val="00FD0B1D"/>
    <w:rsid w:val="00FD109E"/>
    <w:rsid w:val="00FD25CF"/>
    <w:rsid w:val="00FD359F"/>
    <w:rsid w:val="00FD3A21"/>
    <w:rsid w:val="00FD577D"/>
    <w:rsid w:val="00FD6640"/>
    <w:rsid w:val="00FD7457"/>
    <w:rsid w:val="00FE1CD8"/>
    <w:rsid w:val="00FE22B4"/>
    <w:rsid w:val="00FE28D3"/>
    <w:rsid w:val="00FE2B0D"/>
    <w:rsid w:val="00FE3714"/>
    <w:rsid w:val="00FE3DD3"/>
    <w:rsid w:val="00FE5DDF"/>
    <w:rsid w:val="00FE6851"/>
    <w:rsid w:val="00FE6922"/>
    <w:rsid w:val="00FE6AC6"/>
    <w:rsid w:val="00FF0C91"/>
    <w:rsid w:val="00FF3FD1"/>
    <w:rsid w:val="00FF55DA"/>
    <w:rsid w:val="00FF56EE"/>
    <w:rsid w:val="00FF64EC"/>
    <w:rsid w:val="00FF6B60"/>
    <w:rsid w:val="00FF6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CEE115-D4EB-436F-AE2B-D4AB1B63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503"/>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table" w:styleId="TableGrid">
    <w:name w:val="Table Grid"/>
    <w:basedOn w:val="TableNormal"/>
    <w:uiPriority w:val="59"/>
    <w:rsid w:val="00512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001D"/>
    <w:pPr>
      <w:spacing w:after="120" w:line="480" w:lineRule="auto"/>
    </w:pPr>
    <w:rPr>
      <w:sz w:val="22"/>
    </w:rPr>
  </w:style>
  <w:style w:type="paragraph" w:customStyle="1" w:styleId="StyleBodyTextBoldItalicBlue">
    <w:name w:val="Style Body Text + Bold Italic Blue"/>
    <w:basedOn w:val="Normal"/>
    <w:link w:val="StyleBodyTextBoldItalicBlueChar"/>
    <w:rsid w:val="0029333C"/>
    <w:pPr>
      <w:widowControl w:val="0"/>
      <w:spacing w:line="240" w:lineRule="atLeast"/>
    </w:pPr>
    <w:rPr>
      <w:rFonts w:eastAsia="Times"/>
      <w:b/>
      <w:bCs/>
      <w:i/>
      <w:iCs/>
      <w:color w:val="0000FF"/>
      <w:sz w:val="20"/>
      <w:szCs w:val="20"/>
      <w:lang w:eastAsia="en-GB"/>
    </w:rPr>
  </w:style>
  <w:style w:type="character" w:customStyle="1" w:styleId="StyleBodyTextBoldItalicBlueChar">
    <w:name w:val="Style Body Text + Bold Italic Blue Char"/>
    <w:link w:val="StyleBodyTextBoldItalicBlue"/>
    <w:rsid w:val="0029333C"/>
    <w:rPr>
      <w:rFonts w:ascii="Arial" w:eastAsia="Times" w:hAnsi="Arial"/>
      <w:b/>
      <w:bCs/>
      <w:i/>
      <w:iCs/>
      <w:color w:val="0000FF"/>
      <w:lang w:val="en-GB" w:eastAsia="en-GB" w:bidi="ar-SA"/>
    </w:rPr>
  </w:style>
  <w:style w:type="paragraph" w:customStyle="1" w:styleId="arial">
    <w:name w:val="arial"/>
    <w:aliases w:val="12"/>
    <w:basedOn w:val="Normal"/>
    <w:rsid w:val="00A82382"/>
    <w:rPr>
      <w:rFonts w:ascii="Calibri" w:hAnsi="Calibri"/>
      <w:sz w:val="20"/>
      <w:szCs w:val="20"/>
    </w:rPr>
  </w:style>
  <w:style w:type="paragraph" w:styleId="FootnoteText">
    <w:name w:val="footnote text"/>
    <w:basedOn w:val="Normal"/>
    <w:semiHidden/>
    <w:rsid w:val="00A82382"/>
    <w:rPr>
      <w:sz w:val="20"/>
      <w:szCs w:val="20"/>
    </w:rPr>
  </w:style>
  <w:style w:type="character" w:styleId="FootnoteReference">
    <w:name w:val="footnote reference"/>
    <w:semiHidden/>
    <w:rsid w:val="00A82382"/>
    <w:rPr>
      <w:vertAlign w:val="superscript"/>
    </w:rPr>
  </w:style>
  <w:style w:type="paragraph" w:styleId="BodyTextIndent">
    <w:name w:val="Body Text Indent"/>
    <w:basedOn w:val="Normal"/>
    <w:rsid w:val="00227495"/>
    <w:pPr>
      <w:spacing w:after="120"/>
      <w:ind w:left="283"/>
    </w:pPr>
  </w:style>
  <w:style w:type="paragraph" w:customStyle="1" w:styleId="Default">
    <w:name w:val="Default"/>
    <w:rsid w:val="007C30F5"/>
    <w:pPr>
      <w:autoSpaceDE w:val="0"/>
      <w:autoSpaceDN w:val="0"/>
      <w:adjustRightInd w:val="0"/>
    </w:pPr>
    <w:rPr>
      <w:rFonts w:ascii="Arial" w:hAnsi="Arial" w:cs="Arial"/>
      <w:color w:val="000000"/>
      <w:sz w:val="24"/>
      <w:szCs w:val="24"/>
      <w:lang w:val="en-US" w:eastAsia="en-US"/>
    </w:rPr>
  </w:style>
  <w:style w:type="paragraph" w:customStyle="1" w:styleId="Pa12">
    <w:name w:val="Pa12"/>
    <w:basedOn w:val="Default"/>
    <w:next w:val="Default"/>
    <w:rsid w:val="00B6386C"/>
    <w:pPr>
      <w:spacing w:line="221" w:lineRule="atLeast"/>
    </w:pPr>
    <w:rPr>
      <w:rFonts w:ascii="FS Me" w:hAnsi="FS Me" w:cs="Times New Roman"/>
      <w:color w:val="auto"/>
      <w:lang w:val="en-GB" w:eastAsia="en-GB"/>
    </w:rPr>
  </w:style>
  <w:style w:type="character" w:customStyle="1" w:styleId="A5">
    <w:name w:val="A5"/>
    <w:rsid w:val="00B6386C"/>
    <w:rPr>
      <w:rFonts w:cs="FS Me"/>
      <w:color w:val="000000"/>
      <w:sz w:val="22"/>
      <w:szCs w:val="22"/>
    </w:rPr>
  </w:style>
  <w:style w:type="character" w:styleId="Emphasis">
    <w:name w:val="Emphasis"/>
    <w:qFormat/>
    <w:rsid w:val="00641E2E"/>
    <w:rPr>
      <w:i/>
      <w:iCs/>
    </w:rPr>
  </w:style>
  <w:style w:type="table" w:customStyle="1" w:styleId="TableGrid1">
    <w:name w:val="Table Grid1"/>
    <w:basedOn w:val="TableNormal"/>
    <w:next w:val="TableGrid"/>
    <w:uiPriority w:val="59"/>
    <w:rsid w:val="008163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S List Paragraph,F5 List Paragraph,List Paragraph1,List Paragraph11,Numbered Para 1,Dot pt,No Spacing1,List Paragraph Char Char Char,Indicator Text,Bullet Points,MAIN CONTENT,List Paragraph12,Bullets,Lettre d'introduction,Bullet 1"/>
    <w:basedOn w:val="Normal"/>
    <w:link w:val="ListParagraphChar"/>
    <w:uiPriority w:val="34"/>
    <w:qFormat/>
    <w:rsid w:val="0032421C"/>
    <w:pPr>
      <w:ind w:left="720"/>
    </w:pPr>
  </w:style>
  <w:style w:type="paragraph" w:styleId="BodyText">
    <w:name w:val="Body Text"/>
    <w:basedOn w:val="Normal"/>
    <w:link w:val="BodyTextChar"/>
    <w:rsid w:val="00200E6E"/>
    <w:pPr>
      <w:spacing w:after="120"/>
    </w:pPr>
  </w:style>
  <w:style w:type="character" w:customStyle="1" w:styleId="BodyTextChar">
    <w:name w:val="Body Text Char"/>
    <w:link w:val="BodyText"/>
    <w:rsid w:val="00200E6E"/>
    <w:rPr>
      <w:rFonts w:ascii="Arial" w:hAnsi="Arial"/>
      <w:sz w:val="24"/>
      <w:szCs w:val="24"/>
      <w:lang w:eastAsia="en-US"/>
    </w:rPr>
  </w:style>
  <w:style w:type="paragraph" w:customStyle="1" w:styleId="ReportNumbering">
    <w:name w:val="Report Numbering"/>
    <w:basedOn w:val="Normal"/>
    <w:rsid w:val="00E547AA"/>
    <w:pPr>
      <w:numPr>
        <w:numId w:val="1"/>
      </w:numPr>
      <w:spacing w:after="240"/>
    </w:pPr>
    <w:rPr>
      <w:szCs w:val="20"/>
    </w:rPr>
  </w:style>
  <w:style w:type="table" w:customStyle="1" w:styleId="TableGrid2">
    <w:name w:val="Table Grid2"/>
    <w:basedOn w:val="TableNormal"/>
    <w:next w:val="TableGrid"/>
    <w:uiPriority w:val="59"/>
    <w:rsid w:val="006D6F73"/>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1718B"/>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F525A"/>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77A29"/>
    <w:rPr>
      <w:b/>
      <w:bCs/>
    </w:rPr>
  </w:style>
  <w:style w:type="character" w:customStyle="1" w:styleId="CommentTextChar">
    <w:name w:val="Comment Text Char"/>
    <w:link w:val="CommentText"/>
    <w:rsid w:val="006A5A42"/>
    <w:rPr>
      <w:rFonts w:ascii="Arial" w:hAnsi="Arial"/>
      <w:lang w:eastAsia="en-US"/>
    </w:rPr>
  </w:style>
  <w:style w:type="paragraph" w:customStyle="1" w:styleId="mol-para-with-font">
    <w:name w:val="mol-para-with-font"/>
    <w:basedOn w:val="Normal"/>
    <w:rsid w:val="00FF55DA"/>
    <w:pPr>
      <w:spacing w:before="100" w:beforeAutospacing="1" w:after="100" w:afterAutospacing="1"/>
    </w:pPr>
    <w:rPr>
      <w:rFonts w:ascii="Times New Roman" w:hAnsi="Times New Roman"/>
      <w:lang w:eastAsia="en-GB"/>
    </w:rPr>
  </w:style>
  <w:style w:type="paragraph" w:customStyle="1" w:styleId="ReportPara">
    <w:name w:val="Report Para"/>
    <w:basedOn w:val="Normal"/>
    <w:rsid w:val="001C162F"/>
    <w:pPr>
      <w:numPr>
        <w:ilvl w:val="1"/>
        <w:numId w:val="4"/>
      </w:numPr>
      <w:spacing w:after="120"/>
    </w:pPr>
    <w:rPr>
      <w:rFonts w:ascii="Gill Sans MT" w:hAnsi="Gill Sans MT"/>
      <w:szCs w:val="20"/>
      <w:lang w:eastAsia="en-GB"/>
    </w:rPr>
  </w:style>
  <w:style w:type="character" w:customStyle="1" w:styleId="ilfuvd">
    <w:name w:val="ilfuvd"/>
    <w:basedOn w:val="DefaultParagraphFont"/>
    <w:rsid w:val="00F35A62"/>
  </w:style>
  <w:style w:type="character" w:customStyle="1" w:styleId="qna-result-writtenstatement-ministerrole">
    <w:name w:val="qna-result-writtenstatement-ministerrole"/>
    <w:basedOn w:val="DefaultParagraphFont"/>
    <w:rsid w:val="00686271"/>
  </w:style>
  <w:style w:type="character" w:customStyle="1" w:styleId="abodyChar">
    <w:name w:val="a body Char"/>
    <w:link w:val="abody"/>
    <w:locked/>
    <w:rsid w:val="00D81FF0"/>
    <w:rPr>
      <w:rFonts w:ascii="Arial" w:hAnsi="Arial" w:cs="Arial"/>
      <w:color w:val="323232"/>
      <w:sz w:val="22"/>
      <w:szCs w:val="28"/>
      <w:lang w:val="x-none" w:eastAsia="en-US"/>
    </w:rPr>
  </w:style>
  <w:style w:type="paragraph" w:customStyle="1" w:styleId="abody">
    <w:name w:val="a body"/>
    <w:basedOn w:val="Normal"/>
    <w:link w:val="abodyChar"/>
    <w:qFormat/>
    <w:rsid w:val="00D81FF0"/>
    <w:pPr>
      <w:numPr>
        <w:ilvl w:val="1"/>
        <w:numId w:val="5"/>
      </w:numPr>
      <w:spacing w:before="120" w:after="240" w:line="300" w:lineRule="exact"/>
      <w:ind w:left="1134" w:hanging="1134"/>
      <w:jc w:val="both"/>
    </w:pPr>
    <w:rPr>
      <w:rFonts w:cs="Arial"/>
      <w:color w:val="323232"/>
      <w:sz w:val="22"/>
      <w:szCs w:val="28"/>
      <w:lang w:val="x-none"/>
    </w:rPr>
  </w:style>
  <w:style w:type="paragraph" w:customStyle="1" w:styleId="Level2">
    <w:name w:val="Level 2"/>
    <w:basedOn w:val="Heading2"/>
    <w:rsid w:val="00DD2533"/>
    <w:pPr>
      <w:keepLines/>
      <w:numPr>
        <w:ilvl w:val="1"/>
        <w:numId w:val="6"/>
      </w:numPr>
      <w:spacing w:before="200" w:after="200" w:line="300" w:lineRule="exact"/>
    </w:pPr>
    <w:rPr>
      <w:b w:val="0"/>
      <w:bCs w:val="0"/>
      <w:color w:val="323232"/>
      <w:sz w:val="22"/>
      <w:szCs w:val="28"/>
      <w:u w:val="none"/>
    </w:rPr>
  </w:style>
  <w:style w:type="paragraph" w:customStyle="1" w:styleId="Level1">
    <w:name w:val="Level 1"/>
    <w:basedOn w:val="Heading1"/>
    <w:next w:val="Level2"/>
    <w:rsid w:val="00DD2533"/>
    <w:pPr>
      <w:numPr>
        <w:numId w:val="6"/>
      </w:numPr>
      <w:tabs>
        <w:tab w:val="clear" w:pos="1341"/>
        <w:tab w:val="num" w:pos="360"/>
      </w:tabs>
      <w:suppressAutoHyphens/>
      <w:spacing w:before="400" w:line="300" w:lineRule="exact"/>
      <w:ind w:left="0" w:firstLine="0"/>
      <w:jc w:val="both"/>
    </w:pPr>
    <w:rPr>
      <w:b w:val="0"/>
      <w:bCs w:val="0"/>
      <w:color w:val="0074E1"/>
      <w:kern w:val="32"/>
      <w:sz w:val="30"/>
      <w:szCs w:val="32"/>
      <w:lang w:val="x-none"/>
    </w:rPr>
  </w:style>
  <w:style w:type="character" w:customStyle="1" w:styleId="Style1Char">
    <w:name w:val="Style1 Char"/>
    <w:basedOn w:val="DefaultParagraphFont"/>
    <w:link w:val="Style1"/>
    <w:locked/>
    <w:rsid w:val="00DD2533"/>
    <w:rPr>
      <w:rFonts w:ascii="Arial" w:hAnsi="Arial" w:cs="Arial"/>
      <w:color w:val="323232"/>
      <w:sz w:val="22"/>
      <w:szCs w:val="28"/>
      <w:lang w:eastAsia="en-US"/>
    </w:rPr>
  </w:style>
  <w:style w:type="paragraph" w:customStyle="1" w:styleId="Style1">
    <w:name w:val="Style1"/>
    <w:basedOn w:val="Level2"/>
    <w:link w:val="Style1Char"/>
    <w:qFormat/>
    <w:rsid w:val="00DD2533"/>
    <w:pPr>
      <w:ind w:left="1134" w:hanging="1134"/>
      <w:jc w:val="both"/>
    </w:pPr>
    <w:rPr>
      <w:rFonts w:cs="Arial"/>
    </w:rPr>
  </w:style>
  <w:style w:type="character" w:customStyle="1" w:styleId="NoSpacingChar">
    <w:name w:val="No Spacing Char"/>
    <w:basedOn w:val="DefaultParagraphFont"/>
    <w:link w:val="NoSpacing"/>
    <w:uiPriority w:val="1"/>
    <w:locked/>
    <w:rsid w:val="00637919"/>
  </w:style>
  <w:style w:type="paragraph" w:styleId="NoSpacing">
    <w:name w:val="No Spacing"/>
    <w:basedOn w:val="Normal"/>
    <w:link w:val="NoSpacingChar"/>
    <w:uiPriority w:val="1"/>
    <w:qFormat/>
    <w:rsid w:val="00637919"/>
    <w:rPr>
      <w:rFonts w:ascii="Times New Roman" w:hAnsi="Times New Roman"/>
      <w:sz w:val="20"/>
      <w:szCs w:val="20"/>
      <w:lang w:eastAsia="en-GB"/>
    </w:rPr>
  </w:style>
  <w:style w:type="character" w:customStyle="1" w:styleId="ListParagraphChar">
    <w:name w:val="List Paragraph Char"/>
    <w:aliases w:val="cS List Paragraph Char,F5 List Paragraph Char,List Paragraph1 Char,List Paragraph11 Char,Numbered Para 1 Char,Dot pt Char,No Spacing1 Char,List Paragraph Char Char Char Char,Indicator Text Char,Bullet Points Char,MAIN CONTENT Char"/>
    <w:basedOn w:val="DefaultParagraphFont"/>
    <w:link w:val="ListParagraph"/>
    <w:uiPriority w:val="34"/>
    <w:locked/>
    <w:rsid w:val="00637919"/>
    <w:rPr>
      <w:rFonts w:ascii="Arial" w:hAnsi="Arial"/>
      <w:sz w:val="24"/>
      <w:szCs w:val="24"/>
      <w:lang w:eastAsia="en-US"/>
    </w:rPr>
  </w:style>
  <w:style w:type="paragraph" w:customStyle="1" w:styleId="TableParagraph">
    <w:name w:val="Table Paragraph"/>
    <w:basedOn w:val="Normal"/>
    <w:uiPriority w:val="1"/>
    <w:qFormat/>
    <w:rsid w:val="005C6A9A"/>
    <w:pPr>
      <w:widowControl w:val="0"/>
      <w:autoSpaceDE w:val="0"/>
      <w:autoSpaceDN w:val="0"/>
      <w:jc w:val="right"/>
    </w:pPr>
    <w:rPr>
      <w:rFonts w:eastAsia="Arial" w:cs="Arial"/>
      <w:sz w:val="22"/>
      <w:szCs w:val="22"/>
      <w:lang w:val="en-US"/>
    </w:rPr>
  </w:style>
  <w:style w:type="character" w:customStyle="1" w:styleId="hgkelc">
    <w:name w:val="hgkelc"/>
    <w:basedOn w:val="DefaultParagraphFont"/>
    <w:rsid w:val="003E576F"/>
  </w:style>
  <w:style w:type="paragraph" w:customStyle="1" w:styleId="Style4">
    <w:name w:val="Style4"/>
    <w:basedOn w:val="abody"/>
    <w:link w:val="Style4Char"/>
    <w:qFormat/>
    <w:rsid w:val="00DE283D"/>
    <w:pPr>
      <w:numPr>
        <w:ilvl w:val="0"/>
        <w:numId w:val="37"/>
      </w:numPr>
      <w:ind w:left="1559" w:hanging="425"/>
    </w:pPr>
  </w:style>
  <w:style w:type="character" w:customStyle="1" w:styleId="Style4Char">
    <w:name w:val="Style4 Char"/>
    <w:basedOn w:val="abodyChar"/>
    <w:link w:val="Style4"/>
    <w:rsid w:val="00DE283D"/>
    <w:rPr>
      <w:rFonts w:ascii="Arial" w:hAnsi="Arial" w:cs="Arial"/>
      <w:color w:val="323232"/>
      <w:sz w:val="22"/>
      <w:szCs w:val="28"/>
      <w:lang w:val="x-none" w:eastAsia="en-US"/>
    </w:rPr>
  </w:style>
  <w:style w:type="paragraph" w:customStyle="1" w:styleId="11">
    <w:name w:val="1.1"/>
    <w:basedOn w:val="BodyText"/>
    <w:qFormat/>
    <w:rsid w:val="00B36A83"/>
    <w:pPr>
      <w:numPr>
        <w:numId w:val="39"/>
      </w:numPr>
      <w:tabs>
        <w:tab w:val="clear" w:pos="720"/>
      </w:tabs>
      <w:spacing w:after="220"/>
      <w:ind w:hanging="360"/>
    </w:pPr>
    <w:rPr>
      <w:rFonts w:ascii="Verdana" w:hAnsi="Verdana"/>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03611">
      <w:bodyDiv w:val="1"/>
      <w:marLeft w:val="0"/>
      <w:marRight w:val="0"/>
      <w:marTop w:val="0"/>
      <w:marBottom w:val="0"/>
      <w:divBdr>
        <w:top w:val="none" w:sz="0" w:space="0" w:color="auto"/>
        <w:left w:val="none" w:sz="0" w:space="0" w:color="auto"/>
        <w:bottom w:val="none" w:sz="0" w:space="0" w:color="auto"/>
        <w:right w:val="none" w:sz="0" w:space="0" w:color="auto"/>
      </w:divBdr>
      <w:divsChild>
        <w:div w:id="1933388640">
          <w:marLeft w:val="0"/>
          <w:marRight w:val="0"/>
          <w:marTop w:val="0"/>
          <w:marBottom w:val="0"/>
          <w:divBdr>
            <w:top w:val="none" w:sz="0" w:space="0" w:color="auto"/>
            <w:left w:val="none" w:sz="0" w:space="0" w:color="auto"/>
            <w:bottom w:val="none" w:sz="0" w:space="0" w:color="auto"/>
            <w:right w:val="none" w:sz="0" w:space="0" w:color="auto"/>
          </w:divBdr>
          <w:divsChild>
            <w:div w:id="1329402267">
              <w:marLeft w:val="0"/>
              <w:marRight w:val="0"/>
              <w:marTop w:val="0"/>
              <w:marBottom w:val="0"/>
              <w:divBdr>
                <w:top w:val="none" w:sz="0" w:space="0" w:color="auto"/>
                <w:left w:val="none" w:sz="0" w:space="0" w:color="auto"/>
                <w:bottom w:val="none" w:sz="0" w:space="0" w:color="auto"/>
                <w:right w:val="none" w:sz="0" w:space="0" w:color="auto"/>
              </w:divBdr>
              <w:divsChild>
                <w:div w:id="1448429261">
                  <w:marLeft w:val="0"/>
                  <w:marRight w:val="0"/>
                  <w:marTop w:val="0"/>
                  <w:marBottom w:val="0"/>
                  <w:divBdr>
                    <w:top w:val="none" w:sz="0" w:space="0" w:color="auto"/>
                    <w:left w:val="none" w:sz="0" w:space="0" w:color="auto"/>
                    <w:bottom w:val="none" w:sz="0" w:space="0" w:color="auto"/>
                    <w:right w:val="none" w:sz="0" w:space="0" w:color="auto"/>
                  </w:divBdr>
                  <w:divsChild>
                    <w:div w:id="1324815200">
                      <w:marLeft w:val="0"/>
                      <w:marRight w:val="0"/>
                      <w:marTop w:val="0"/>
                      <w:marBottom w:val="0"/>
                      <w:divBdr>
                        <w:top w:val="none" w:sz="0" w:space="0" w:color="auto"/>
                        <w:left w:val="none" w:sz="0" w:space="0" w:color="auto"/>
                        <w:bottom w:val="none" w:sz="0" w:space="0" w:color="auto"/>
                        <w:right w:val="none" w:sz="0" w:space="0" w:color="auto"/>
                      </w:divBdr>
                      <w:divsChild>
                        <w:div w:id="14146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10823">
      <w:bodyDiv w:val="1"/>
      <w:marLeft w:val="0"/>
      <w:marRight w:val="0"/>
      <w:marTop w:val="0"/>
      <w:marBottom w:val="0"/>
      <w:divBdr>
        <w:top w:val="none" w:sz="0" w:space="0" w:color="auto"/>
        <w:left w:val="none" w:sz="0" w:space="0" w:color="auto"/>
        <w:bottom w:val="none" w:sz="0" w:space="0" w:color="auto"/>
        <w:right w:val="none" w:sz="0" w:space="0" w:color="auto"/>
      </w:divBdr>
    </w:div>
    <w:div w:id="118762775">
      <w:bodyDiv w:val="1"/>
      <w:marLeft w:val="0"/>
      <w:marRight w:val="0"/>
      <w:marTop w:val="0"/>
      <w:marBottom w:val="0"/>
      <w:divBdr>
        <w:top w:val="none" w:sz="0" w:space="0" w:color="auto"/>
        <w:left w:val="none" w:sz="0" w:space="0" w:color="auto"/>
        <w:bottom w:val="none" w:sz="0" w:space="0" w:color="auto"/>
        <w:right w:val="none" w:sz="0" w:space="0" w:color="auto"/>
      </w:divBdr>
    </w:div>
    <w:div w:id="138575556">
      <w:bodyDiv w:val="1"/>
      <w:marLeft w:val="0"/>
      <w:marRight w:val="0"/>
      <w:marTop w:val="0"/>
      <w:marBottom w:val="0"/>
      <w:divBdr>
        <w:top w:val="none" w:sz="0" w:space="0" w:color="auto"/>
        <w:left w:val="none" w:sz="0" w:space="0" w:color="auto"/>
        <w:bottom w:val="none" w:sz="0" w:space="0" w:color="auto"/>
        <w:right w:val="none" w:sz="0" w:space="0" w:color="auto"/>
      </w:divBdr>
    </w:div>
    <w:div w:id="143553421">
      <w:bodyDiv w:val="1"/>
      <w:marLeft w:val="0"/>
      <w:marRight w:val="0"/>
      <w:marTop w:val="0"/>
      <w:marBottom w:val="0"/>
      <w:divBdr>
        <w:top w:val="none" w:sz="0" w:space="0" w:color="auto"/>
        <w:left w:val="none" w:sz="0" w:space="0" w:color="auto"/>
        <w:bottom w:val="none" w:sz="0" w:space="0" w:color="auto"/>
        <w:right w:val="none" w:sz="0" w:space="0" w:color="auto"/>
      </w:divBdr>
    </w:div>
    <w:div w:id="165094992">
      <w:bodyDiv w:val="1"/>
      <w:marLeft w:val="0"/>
      <w:marRight w:val="0"/>
      <w:marTop w:val="0"/>
      <w:marBottom w:val="0"/>
      <w:divBdr>
        <w:top w:val="none" w:sz="0" w:space="0" w:color="auto"/>
        <w:left w:val="none" w:sz="0" w:space="0" w:color="auto"/>
        <w:bottom w:val="none" w:sz="0" w:space="0" w:color="auto"/>
        <w:right w:val="none" w:sz="0" w:space="0" w:color="auto"/>
      </w:divBdr>
      <w:divsChild>
        <w:div w:id="1913735417">
          <w:marLeft w:val="0"/>
          <w:marRight w:val="0"/>
          <w:marTop w:val="100"/>
          <w:marBottom w:val="100"/>
          <w:divBdr>
            <w:top w:val="none" w:sz="0" w:space="0" w:color="auto"/>
            <w:left w:val="none" w:sz="0" w:space="0" w:color="auto"/>
            <w:bottom w:val="none" w:sz="0" w:space="0" w:color="auto"/>
            <w:right w:val="none" w:sz="0" w:space="0" w:color="auto"/>
          </w:divBdr>
          <w:divsChild>
            <w:div w:id="736785629">
              <w:marLeft w:val="0"/>
              <w:marRight w:val="0"/>
              <w:marTop w:val="0"/>
              <w:marBottom w:val="420"/>
              <w:divBdr>
                <w:top w:val="none" w:sz="0" w:space="0" w:color="auto"/>
                <w:left w:val="none" w:sz="0" w:space="0" w:color="auto"/>
                <w:bottom w:val="none" w:sz="0" w:space="0" w:color="auto"/>
                <w:right w:val="none" w:sz="0" w:space="0" w:color="auto"/>
              </w:divBdr>
              <w:divsChild>
                <w:div w:id="1724909226">
                  <w:marLeft w:val="0"/>
                  <w:marRight w:val="0"/>
                  <w:marTop w:val="0"/>
                  <w:marBottom w:val="0"/>
                  <w:divBdr>
                    <w:top w:val="none" w:sz="0" w:space="0" w:color="auto"/>
                    <w:left w:val="none" w:sz="0" w:space="0" w:color="auto"/>
                    <w:bottom w:val="none" w:sz="0" w:space="0" w:color="auto"/>
                    <w:right w:val="none" w:sz="0" w:space="0" w:color="auto"/>
                  </w:divBdr>
                  <w:divsChild>
                    <w:div w:id="43914831">
                      <w:marLeft w:val="0"/>
                      <w:marRight w:val="0"/>
                      <w:marTop w:val="0"/>
                      <w:marBottom w:val="0"/>
                      <w:divBdr>
                        <w:top w:val="none" w:sz="0" w:space="0" w:color="auto"/>
                        <w:left w:val="none" w:sz="0" w:space="0" w:color="auto"/>
                        <w:bottom w:val="none" w:sz="0" w:space="0" w:color="auto"/>
                        <w:right w:val="none" w:sz="0" w:space="0" w:color="auto"/>
                      </w:divBdr>
                      <w:divsChild>
                        <w:div w:id="76636303">
                          <w:marLeft w:val="0"/>
                          <w:marRight w:val="0"/>
                          <w:marTop w:val="0"/>
                          <w:marBottom w:val="0"/>
                          <w:divBdr>
                            <w:top w:val="none" w:sz="0" w:space="0" w:color="auto"/>
                            <w:left w:val="none" w:sz="0" w:space="0" w:color="auto"/>
                            <w:bottom w:val="none" w:sz="0" w:space="0" w:color="auto"/>
                            <w:right w:val="none" w:sz="0" w:space="0" w:color="auto"/>
                          </w:divBdr>
                          <w:divsChild>
                            <w:div w:id="1187406184">
                              <w:marLeft w:val="0"/>
                              <w:marRight w:val="0"/>
                              <w:marTop w:val="0"/>
                              <w:marBottom w:val="0"/>
                              <w:divBdr>
                                <w:top w:val="none" w:sz="0" w:space="0" w:color="auto"/>
                                <w:left w:val="none" w:sz="0" w:space="0" w:color="auto"/>
                                <w:bottom w:val="none" w:sz="0" w:space="0" w:color="auto"/>
                                <w:right w:val="none" w:sz="0" w:space="0" w:color="auto"/>
                              </w:divBdr>
                              <w:divsChild>
                                <w:div w:id="16502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67782">
      <w:bodyDiv w:val="1"/>
      <w:marLeft w:val="0"/>
      <w:marRight w:val="0"/>
      <w:marTop w:val="0"/>
      <w:marBottom w:val="0"/>
      <w:divBdr>
        <w:top w:val="none" w:sz="0" w:space="0" w:color="auto"/>
        <w:left w:val="none" w:sz="0" w:space="0" w:color="auto"/>
        <w:bottom w:val="none" w:sz="0" w:space="0" w:color="auto"/>
        <w:right w:val="none" w:sz="0" w:space="0" w:color="auto"/>
      </w:divBdr>
    </w:div>
    <w:div w:id="180895325">
      <w:bodyDiv w:val="1"/>
      <w:marLeft w:val="0"/>
      <w:marRight w:val="0"/>
      <w:marTop w:val="0"/>
      <w:marBottom w:val="0"/>
      <w:divBdr>
        <w:top w:val="none" w:sz="0" w:space="0" w:color="auto"/>
        <w:left w:val="none" w:sz="0" w:space="0" w:color="auto"/>
        <w:bottom w:val="none" w:sz="0" w:space="0" w:color="auto"/>
        <w:right w:val="none" w:sz="0" w:space="0" w:color="auto"/>
      </w:divBdr>
    </w:div>
    <w:div w:id="199754338">
      <w:bodyDiv w:val="1"/>
      <w:marLeft w:val="0"/>
      <w:marRight w:val="0"/>
      <w:marTop w:val="0"/>
      <w:marBottom w:val="0"/>
      <w:divBdr>
        <w:top w:val="none" w:sz="0" w:space="0" w:color="auto"/>
        <w:left w:val="none" w:sz="0" w:space="0" w:color="auto"/>
        <w:bottom w:val="none" w:sz="0" w:space="0" w:color="auto"/>
        <w:right w:val="none" w:sz="0" w:space="0" w:color="auto"/>
      </w:divBdr>
    </w:div>
    <w:div w:id="219096380">
      <w:bodyDiv w:val="1"/>
      <w:marLeft w:val="0"/>
      <w:marRight w:val="0"/>
      <w:marTop w:val="0"/>
      <w:marBottom w:val="0"/>
      <w:divBdr>
        <w:top w:val="none" w:sz="0" w:space="0" w:color="auto"/>
        <w:left w:val="none" w:sz="0" w:space="0" w:color="auto"/>
        <w:bottom w:val="none" w:sz="0" w:space="0" w:color="auto"/>
        <w:right w:val="none" w:sz="0" w:space="0" w:color="auto"/>
      </w:divBdr>
      <w:divsChild>
        <w:div w:id="612059488">
          <w:marLeft w:val="0"/>
          <w:marRight w:val="0"/>
          <w:marTop w:val="0"/>
          <w:marBottom w:val="0"/>
          <w:divBdr>
            <w:top w:val="none" w:sz="0" w:space="0" w:color="auto"/>
            <w:left w:val="none" w:sz="0" w:space="0" w:color="auto"/>
            <w:bottom w:val="none" w:sz="0" w:space="0" w:color="auto"/>
            <w:right w:val="none" w:sz="0" w:space="0" w:color="auto"/>
          </w:divBdr>
          <w:divsChild>
            <w:div w:id="1546409087">
              <w:marLeft w:val="0"/>
              <w:marRight w:val="0"/>
              <w:marTop w:val="0"/>
              <w:marBottom w:val="0"/>
              <w:divBdr>
                <w:top w:val="none" w:sz="0" w:space="0" w:color="auto"/>
                <w:left w:val="none" w:sz="0" w:space="0" w:color="auto"/>
                <w:bottom w:val="none" w:sz="0" w:space="0" w:color="auto"/>
                <w:right w:val="none" w:sz="0" w:space="0" w:color="auto"/>
              </w:divBdr>
              <w:divsChild>
                <w:div w:id="316422507">
                  <w:marLeft w:val="0"/>
                  <w:marRight w:val="0"/>
                  <w:marTop w:val="0"/>
                  <w:marBottom w:val="0"/>
                  <w:divBdr>
                    <w:top w:val="none" w:sz="0" w:space="0" w:color="auto"/>
                    <w:left w:val="none" w:sz="0" w:space="0" w:color="auto"/>
                    <w:bottom w:val="none" w:sz="0" w:space="0" w:color="auto"/>
                    <w:right w:val="none" w:sz="0" w:space="0" w:color="auto"/>
                  </w:divBdr>
                  <w:divsChild>
                    <w:div w:id="317005413">
                      <w:marLeft w:val="0"/>
                      <w:marRight w:val="0"/>
                      <w:marTop w:val="0"/>
                      <w:marBottom w:val="0"/>
                      <w:divBdr>
                        <w:top w:val="none" w:sz="0" w:space="0" w:color="auto"/>
                        <w:left w:val="none" w:sz="0" w:space="0" w:color="auto"/>
                        <w:bottom w:val="none" w:sz="0" w:space="0" w:color="auto"/>
                        <w:right w:val="none" w:sz="0" w:space="0" w:color="auto"/>
                      </w:divBdr>
                      <w:divsChild>
                        <w:div w:id="1655915662">
                          <w:marLeft w:val="0"/>
                          <w:marRight w:val="0"/>
                          <w:marTop w:val="0"/>
                          <w:marBottom w:val="0"/>
                          <w:divBdr>
                            <w:top w:val="none" w:sz="0" w:space="0" w:color="auto"/>
                            <w:left w:val="none" w:sz="0" w:space="0" w:color="auto"/>
                            <w:bottom w:val="none" w:sz="0" w:space="0" w:color="auto"/>
                            <w:right w:val="none" w:sz="0" w:space="0" w:color="auto"/>
                          </w:divBdr>
                          <w:divsChild>
                            <w:div w:id="2147115638">
                              <w:marLeft w:val="0"/>
                              <w:marRight w:val="0"/>
                              <w:marTop w:val="0"/>
                              <w:marBottom w:val="0"/>
                              <w:divBdr>
                                <w:top w:val="none" w:sz="0" w:space="0" w:color="auto"/>
                                <w:left w:val="none" w:sz="0" w:space="0" w:color="auto"/>
                                <w:bottom w:val="none" w:sz="0" w:space="0" w:color="auto"/>
                                <w:right w:val="none" w:sz="0" w:space="0" w:color="auto"/>
                              </w:divBdr>
                              <w:divsChild>
                                <w:div w:id="213276925">
                                  <w:marLeft w:val="0"/>
                                  <w:marRight w:val="0"/>
                                  <w:marTop w:val="0"/>
                                  <w:marBottom w:val="0"/>
                                  <w:divBdr>
                                    <w:top w:val="none" w:sz="0" w:space="0" w:color="auto"/>
                                    <w:left w:val="none" w:sz="0" w:space="0" w:color="auto"/>
                                    <w:bottom w:val="none" w:sz="0" w:space="0" w:color="auto"/>
                                    <w:right w:val="none" w:sz="0" w:space="0" w:color="auto"/>
                                  </w:divBdr>
                                  <w:divsChild>
                                    <w:div w:id="608661592">
                                      <w:marLeft w:val="0"/>
                                      <w:marRight w:val="0"/>
                                      <w:marTop w:val="0"/>
                                      <w:marBottom w:val="0"/>
                                      <w:divBdr>
                                        <w:top w:val="none" w:sz="0" w:space="0" w:color="auto"/>
                                        <w:left w:val="none" w:sz="0" w:space="0" w:color="auto"/>
                                        <w:bottom w:val="none" w:sz="0" w:space="0" w:color="auto"/>
                                        <w:right w:val="none" w:sz="0" w:space="0" w:color="auto"/>
                                      </w:divBdr>
                                      <w:divsChild>
                                        <w:div w:id="1927036957">
                                          <w:marLeft w:val="0"/>
                                          <w:marRight w:val="0"/>
                                          <w:marTop w:val="0"/>
                                          <w:marBottom w:val="0"/>
                                          <w:divBdr>
                                            <w:top w:val="none" w:sz="0" w:space="0" w:color="auto"/>
                                            <w:left w:val="none" w:sz="0" w:space="0" w:color="auto"/>
                                            <w:bottom w:val="none" w:sz="0" w:space="0" w:color="auto"/>
                                            <w:right w:val="none" w:sz="0" w:space="0" w:color="auto"/>
                                          </w:divBdr>
                                          <w:divsChild>
                                            <w:div w:id="3153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4269367">
      <w:bodyDiv w:val="1"/>
      <w:marLeft w:val="0"/>
      <w:marRight w:val="0"/>
      <w:marTop w:val="0"/>
      <w:marBottom w:val="0"/>
      <w:divBdr>
        <w:top w:val="none" w:sz="0" w:space="0" w:color="auto"/>
        <w:left w:val="none" w:sz="0" w:space="0" w:color="auto"/>
        <w:bottom w:val="none" w:sz="0" w:space="0" w:color="auto"/>
        <w:right w:val="none" w:sz="0" w:space="0" w:color="auto"/>
      </w:divBdr>
    </w:div>
    <w:div w:id="283082567">
      <w:bodyDiv w:val="1"/>
      <w:marLeft w:val="0"/>
      <w:marRight w:val="0"/>
      <w:marTop w:val="0"/>
      <w:marBottom w:val="0"/>
      <w:divBdr>
        <w:top w:val="none" w:sz="0" w:space="0" w:color="auto"/>
        <w:left w:val="none" w:sz="0" w:space="0" w:color="auto"/>
        <w:bottom w:val="none" w:sz="0" w:space="0" w:color="auto"/>
        <w:right w:val="none" w:sz="0" w:space="0" w:color="auto"/>
      </w:divBdr>
    </w:div>
    <w:div w:id="295451970">
      <w:bodyDiv w:val="1"/>
      <w:marLeft w:val="0"/>
      <w:marRight w:val="0"/>
      <w:marTop w:val="0"/>
      <w:marBottom w:val="0"/>
      <w:divBdr>
        <w:top w:val="none" w:sz="0" w:space="0" w:color="auto"/>
        <w:left w:val="none" w:sz="0" w:space="0" w:color="auto"/>
        <w:bottom w:val="none" w:sz="0" w:space="0" w:color="auto"/>
        <w:right w:val="none" w:sz="0" w:space="0" w:color="auto"/>
      </w:divBdr>
    </w:div>
    <w:div w:id="354381785">
      <w:bodyDiv w:val="1"/>
      <w:marLeft w:val="0"/>
      <w:marRight w:val="0"/>
      <w:marTop w:val="0"/>
      <w:marBottom w:val="0"/>
      <w:divBdr>
        <w:top w:val="none" w:sz="0" w:space="0" w:color="auto"/>
        <w:left w:val="none" w:sz="0" w:space="0" w:color="auto"/>
        <w:bottom w:val="none" w:sz="0" w:space="0" w:color="auto"/>
        <w:right w:val="none" w:sz="0" w:space="0" w:color="auto"/>
      </w:divBdr>
    </w:div>
    <w:div w:id="362485011">
      <w:bodyDiv w:val="1"/>
      <w:marLeft w:val="0"/>
      <w:marRight w:val="0"/>
      <w:marTop w:val="0"/>
      <w:marBottom w:val="0"/>
      <w:divBdr>
        <w:top w:val="none" w:sz="0" w:space="0" w:color="auto"/>
        <w:left w:val="none" w:sz="0" w:space="0" w:color="auto"/>
        <w:bottom w:val="none" w:sz="0" w:space="0" w:color="auto"/>
        <w:right w:val="none" w:sz="0" w:space="0" w:color="auto"/>
      </w:divBdr>
      <w:divsChild>
        <w:div w:id="591007288">
          <w:marLeft w:val="547"/>
          <w:marRight w:val="0"/>
          <w:marTop w:val="96"/>
          <w:marBottom w:val="0"/>
          <w:divBdr>
            <w:top w:val="none" w:sz="0" w:space="0" w:color="auto"/>
            <w:left w:val="none" w:sz="0" w:space="0" w:color="auto"/>
            <w:bottom w:val="none" w:sz="0" w:space="0" w:color="auto"/>
            <w:right w:val="none" w:sz="0" w:space="0" w:color="auto"/>
          </w:divBdr>
        </w:div>
        <w:div w:id="704864314">
          <w:marLeft w:val="547"/>
          <w:marRight w:val="0"/>
          <w:marTop w:val="96"/>
          <w:marBottom w:val="0"/>
          <w:divBdr>
            <w:top w:val="none" w:sz="0" w:space="0" w:color="auto"/>
            <w:left w:val="none" w:sz="0" w:space="0" w:color="auto"/>
            <w:bottom w:val="none" w:sz="0" w:space="0" w:color="auto"/>
            <w:right w:val="none" w:sz="0" w:space="0" w:color="auto"/>
          </w:divBdr>
        </w:div>
      </w:divsChild>
    </w:div>
    <w:div w:id="395399835">
      <w:bodyDiv w:val="1"/>
      <w:marLeft w:val="0"/>
      <w:marRight w:val="0"/>
      <w:marTop w:val="0"/>
      <w:marBottom w:val="0"/>
      <w:divBdr>
        <w:top w:val="none" w:sz="0" w:space="0" w:color="auto"/>
        <w:left w:val="none" w:sz="0" w:space="0" w:color="auto"/>
        <w:bottom w:val="none" w:sz="0" w:space="0" w:color="auto"/>
        <w:right w:val="none" w:sz="0" w:space="0" w:color="auto"/>
      </w:divBdr>
    </w:div>
    <w:div w:id="424767867">
      <w:bodyDiv w:val="1"/>
      <w:marLeft w:val="0"/>
      <w:marRight w:val="0"/>
      <w:marTop w:val="0"/>
      <w:marBottom w:val="0"/>
      <w:divBdr>
        <w:top w:val="none" w:sz="0" w:space="0" w:color="auto"/>
        <w:left w:val="none" w:sz="0" w:space="0" w:color="auto"/>
        <w:bottom w:val="none" w:sz="0" w:space="0" w:color="auto"/>
        <w:right w:val="none" w:sz="0" w:space="0" w:color="auto"/>
      </w:divBdr>
    </w:div>
    <w:div w:id="435028334">
      <w:bodyDiv w:val="1"/>
      <w:marLeft w:val="0"/>
      <w:marRight w:val="0"/>
      <w:marTop w:val="0"/>
      <w:marBottom w:val="0"/>
      <w:divBdr>
        <w:top w:val="none" w:sz="0" w:space="0" w:color="auto"/>
        <w:left w:val="none" w:sz="0" w:space="0" w:color="auto"/>
        <w:bottom w:val="none" w:sz="0" w:space="0" w:color="auto"/>
        <w:right w:val="none" w:sz="0" w:space="0" w:color="auto"/>
      </w:divBdr>
    </w:div>
    <w:div w:id="472523612">
      <w:bodyDiv w:val="1"/>
      <w:marLeft w:val="0"/>
      <w:marRight w:val="0"/>
      <w:marTop w:val="0"/>
      <w:marBottom w:val="0"/>
      <w:divBdr>
        <w:top w:val="none" w:sz="0" w:space="0" w:color="auto"/>
        <w:left w:val="none" w:sz="0" w:space="0" w:color="auto"/>
        <w:bottom w:val="none" w:sz="0" w:space="0" w:color="auto"/>
        <w:right w:val="none" w:sz="0" w:space="0" w:color="auto"/>
      </w:divBdr>
      <w:divsChild>
        <w:div w:id="1672290861">
          <w:marLeft w:val="0"/>
          <w:marRight w:val="0"/>
          <w:marTop w:val="100"/>
          <w:marBottom w:val="100"/>
          <w:divBdr>
            <w:top w:val="none" w:sz="0" w:space="0" w:color="auto"/>
            <w:left w:val="none" w:sz="0" w:space="0" w:color="auto"/>
            <w:bottom w:val="none" w:sz="0" w:space="0" w:color="auto"/>
            <w:right w:val="none" w:sz="0" w:space="0" w:color="auto"/>
          </w:divBdr>
          <w:divsChild>
            <w:div w:id="816336283">
              <w:marLeft w:val="0"/>
              <w:marRight w:val="0"/>
              <w:marTop w:val="0"/>
              <w:marBottom w:val="0"/>
              <w:divBdr>
                <w:top w:val="none" w:sz="0" w:space="0" w:color="auto"/>
                <w:left w:val="none" w:sz="0" w:space="0" w:color="auto"/>
                <w:bottom w:val="none" w:sz="0" w:space="0" w:color="auto"/>
                <w:right w:val="none" w:sz="0" w:space="0" w:color="auto"/>
              </w:divBdr>
              <w:divsChild>
                <w:div w:id="384721731">
                  <w:marLeft w:val="0"/>
                  <w:marRight w:val="0"/>
                  <w:marTop w:val="0"/>
                  <w:marBottom w:val="0"/>
                  <w:divBdr>
                    <w:top w:val="none" w:sz="0" w:space="0" w:color="auto"/>
                    <w:left w:val="none" w:sz="0" w:space="0" w:color="auto"/>
                    <w:bottom w:val="none" w:sz="0" w:space="0" w:color="auto"/>
                    <w:right w:val="none" w:sz="0" w:space="0" w:color="auto"/>
                  </w:divBdr>
                  <w:divsChild>
                    <w:div w:id="1217550283">
                      <w:marLeft w:val="0"/>
                      <w:marRight w:val="0"/>
                      <w:marTop w:val="0"/>
                      <w:marBottom w:val="0"/>
                      <w:divBdr>
                        <w:top w:val="none" w:sz="0" w:space="0" w:color="auto"/>
                        <w:left w:val="none" w:sz="0" w:space="0" w:color="auto"/>
                        <w:bottom w:val="none" w:sz="0" w:space="0" w:color="auto"/>
                        <w:right w:val="none" w:sz="0" w:space="0" w:color="auto"/>
                      </w:divBdr>
                      <w:divsChild>
                        <w:div w:id="342587619">
                          <w:marLeft w:val="0"/>
                          <w:marRight w:val="0"/>
                          <w:marTop w:val="0"/>
                          <w:marBottom w:val="0"/>
                          <w:divBdr>
                            <w:top w:val="none" w:sz="0" w:space="0" w:color="auto"/>
                            <w:left w:val="none" w:sz="0" w:space="0" w:color="auto"/>
                            <w:bottom w:val="none" w:sz="0" w:space="0" w:color="auto"/>
                            <w:right w:val="none" w:sz="0" w:space="0" w:color="auto"/>
                          </w:divBdr>
                          <w:divsChild>
                            <w:div w:id="900868316">
                              <w:marLeft w:val="0"/>
                              <w:marRight w:val="0"/>
                              <w:marTop w:val="0"/>
                              <w:marBottom w:val="0"/>
                              <w:divBdr>
                                <w:top w:val="none" w:sz="0" w:space="0" w:color="auto"/>
                                <w:left w:val="none" w:sz="0" w:space="0" w:color="auto"/>
                                <w:bottom w:val="none" w:sz="0" w:space="0" w:color="auto"/>
                                <w:right w:val="none" w:sz="0" w:space="0" w:color="auto"/>
                              </w:divBdr>
                              <w:divsChild>
                                <w:div w:id="315305174">
                                  <w:marLeft w:val="0"/>
                                  <w:marRight w:val="0"/>
                                  <w:marTop w:val="0"/>
                                  <w:marBottom w:val="450"/>
                                  <w:divBdr>
                                    <w:top w:val="none" w:sz="0" w:space="0" w:color="auto"/>
                                    <w:left w:val="none" w:sz="0" w:space="0" w:color="auto"/>
                                    <w:bottom w:val="none" w:sz="0" w:space="0" w:color="auto"/>
                                    <w:right w:val="none" w:sz="0" w:space="0" w:color="auto"/>
                                  </w:divBdr>
                                  <w:divsChild>
                                    <w:div w:id="582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057967">
      <w:bodyDiv w:val="1"/>
      <w:marLeft w:val="0"/>
      <w:marRight w:val="0"/>
      <w:marTop w:val="0"/>
      <w:marBottom w:val="0"/>
      <w:divBdr>
        <w:top w:val="none" w:sz="0" w:space="0" w:color="auto"/>
        <w:left w:val="none" w:sz="0" w:space="0" w:color="auto"/>
        <w:bottom w:val="none" w:sz="0" w:space="0" w:color="auto"/>
        <w:right w:val="none" w:sz="0" w:space="0" w:color="auto"/>
      </w:divBdr>
      <w:divsChild>
        <w:div w:id="578255444">
          <w:marLeft w:val="0"/>
          <w:marRight w:val="0"/>
          <w:marTop w:val="0"/>
          <w:marBottom w:val="0"/>
          <w:divBdr>
            <w:top w:val="none" w:sz="0" w:space="0" w:color="auto"/>
            <w:left w:val="none" w:sz="0" w:space="0" w:color="auto"/>
            <w:bottom w:val="none" w:sz="0" w:space="0" w:color="auto"/>
            <w:right w:val="none" w:sz="0" w:space="0" w:color="auto"/>
          </w:divBdr>
          <w:divsChild>
            <w:div w:id="1335572004">
              <w:marLeft w:val="0"/>
              <w:marRight w:val="0"/>
              <w:marTop w:val="0"/>
              <w:marBottom w:val="0"/>
              <w:divBdr>
                <w:top w:val="none" w:sz="0" w:space="0" w:color="auto"/>
                <w:left w:val="none" w:sz="0" w:space="0" w:color="auto"/>
                <w:bottom w:val="none" w:sz="0" w:space="0" w:color="auto"/>
                <w:right w:val="none" w:sz="0" w:space="0" w:color="auto"/>
              </w:divBdr>
              <w:divsChild>
                <w:div w:id="191572960">
                  <w:marLeft w:val="0"/>
                  <w:marRight w:val="0"/>
                  <w:marTop w:val="0"/>
                  <w:marBottom w:val="0"/>
                  <w:divBdr>
                    <w:top w:val="none" w:sz="0" w:space="0" w:color="auto"/>
                    <w:left w:val="none" w:sz="0" w:space="0" w:color="auto"/>
                    <w:bottom w:val="none" w:sz="0" w:space="0" w:color="auto"/>
                    <w:right w:val="none" w:sz="0" w:space="0" w:color="auto"/>
                  </w:divBdr>
                  <w:divsChild>
                    <w:div w:id="1507592616">
                      <w:marLeft w:val="0"/>
                      <w:marRight w:val="0"/>
                      <w:marTop w:val="0"/>
                      <w:marBottom w:val="0"/>
                      <w:divBdr>
                        <w:top w:val="none" w:sz="0" w:space="0" w:color="auto"/>
                        <w:left w:val="none" w:sz="0" w:space="0" w:color="auto"/>
                        <w:bottom w:val="none" w:sz="0" w:space="0" w:color="auto"/>
                        <w:right w:val="none" w:sz="0" w:space="0" w:color="auto"/>
                      </w:divBdr>
                      <w:divsChild>
                        <w:div w:id="1735852054">
                          <w:marLeft w:val="0"/>
                          <w:marRight w:val="0"/>
                          <w:marTop w:val="0"/>
                          <w:marBottom w:val="0"/>
                          <w:divBdr>
                            <w:top w:val="none" w:sz="0" w:space="0" w:color="auto"/>
                            <w:left w:val="none" w:sz="0" w:space="0" w:color="auto"/>
                            <w:bottom w:val="none" w:sz="0" w:space="0" w:color="auto"/>
                            <w:right w:val="none" w:sz="0" w:space="0" w:color="auto"/>
                          </w:divBdr>
                          <w:divsChild>
                            <w:div w:id="148375311">
                              <w:marLeft w:val="0"/>
                              <w:marRight w:val="0"/>
                              <w:marTop w:val="0"/>
                              <w:marBottom w:val="0"/>
                              <w:divBdr>
                                <w:top w:val="none" w:sz="0" w:space="0" w:color="auto"/>
                                <w:left w:val="none" w:sz="0" w:space="0" w:color="auto"/>
                                <w:bottom w:val="none" w:sz="0" w:space="0" w:color="auto"/>
                                <w:right w:val="none" w:sz="0" w:space="0" w:color="auto"/>
                              </w:divBdr>
                              <w:divsChild>
                                <w:div w:id="274097670">
                                  <w:marLeft w:val="0"/>
                                  <w:marRight w:val="0"/>
                                  <w:marTop w:val="0"/>
                                  <w:marBottom w:val="0"/>
                                  <w:divBdr>
                                    <w:top w:val="none" w:sz="0" w:space="0" w:color="auto"/>
                                    <w:left w:val="none" w:sz="0" w:space="0" w:color="auto"/>
                                    <w:bottom w:val="none" w:sz="0" w:space="0" w:color="auto"/>
                                    <w:right w:val="none" w:sz="0" w:space="0" w:color="auto"/>
                                  </w:divBdr>
                                  <w:divsChild>
                                    <w:div w:id="291254689">
                                      <w:marLeft w:val="0"/>
                                      <w:marRight w:val="0"/>
                                      <w:marTop w:val="0"/>
                                      <w:marBottom w:val="0"/>
                                      <w:divBdr>
                                        <w:top w:val="none" w:sz="0" w:space="0" w:color="auto"/>
                                        <w:left w:val="none" w:sz="0" w:space="0" w:color="auto"/>
                                        <w:bottom w:val="none" w:sz="0" w:space="0" w:color="auto"/>
                                        <w:right w:val="none" w:sz="0" w:space="0" w:color="auto"/>
                                      </w:divBdr>
                                      <w:divsChild>
                                        <w:div w:id="1629430066">
                                          <w:marLeft w:val="0"/>
                                          <w:marRight w:val="0"/>
                                          <w:marTop w:val="0"/>
                                          <w:marBottom w:val="0"/>
                                          <w:divBdr>
                                            <w:top w:val="none" w:sz="0" w:space="0" w:color="auto"/>
                                            <w:left w:val="none" w:sz="0" w:space="0" w:color="auto"/>
                                            <w:bottom w:val="none" w:sz="0" w:space="0" w:color="auto"/>
                                            <w:right w:val="none" w:sz="0" w:space="0" w:color="auto"/>
                                          </w:divBdr>
                                          <w:divsChild>
                                            <w:div w:id="15209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692647">
      <w:bodyDiv w:val="1"/>
      <w:marLeft w:val="0"/>
      <w:marRight w:val="0"/>
      <w:marTop w:val="0"/>
      <w:marBottom w:val="0"/>
      <w:divBdr>
        <w:top w:val="none" w:sz="0" w:space="0" w:color="auto"/>
        <w:left w:val="none" w:sz="0" w:space="0" w:color="auto"/>
        <w:bottom w:val="none" w:sz="0" w:space="0" w:color="auto"/>
        <w:right w:val="none" w:sz="0" w:space="0" w:color="auto"/>
      </w:divBdr>
    </w:div>
    <w:div w:id="543639752">
      <w:bodyDiv w:val="1"/>
      <w:marLeft w:val="0"/>
      <w:marRight w:val="0"/>
      <w:marTop w:val="0"/>
      <w:marBottom w:val="0"/>
      <w:divBdr>
        <w:top w:val="none" w:sz="0" w:space="0" w:color="auto"/>
        <w:left w:val="none" w:sz="0" w:space="0" w:color="auto"/>
        <w:bottom w:val="none" w:sz="0" w:space="0" w:color="auto"/>
        <w:right w:val="none" w:sz="0" w:space="0" w:color="auto"/>
      </w:divBdr>
    </w:div>
    <w:div w:id="549806775">
      <w:bodyDiv w:val="1"/>
      <w:marLeft w:val="0"/>
      <w:marRight w:val="0"/>
      <w:marTop w:val="0"/>
      <w:marBottom w:val="0"/>
      <w:divBdr>
        <w:top w:val="none" w:sz="0" w:space="0" w:color="auto"/>
        <w:left w:val="none" w:sz="0" w:space="0" w:color="auto"/>
        <w:bottom w:val="none" w:sz="0" w:space="0" w:color="auto"/>
        <w:right w:val="none" w:sz="0" w:space="0" w:color="auto"/>
      </w:divBdr>
    </w:div>
    <w:div w:id="568266830">
      <w:bodyDiv w:val="1"/>
      <w:marLeft w:val="0"/>
      <w:marRight w:val="0"/>
      <w:marTop w:val="0"/>
      <w:marBottom w:val="0"/>
      <w:divBdr>
        <w:top w:val="none" w:sz="0" w:space="0" w:color="auto"/>
        <w:left w:val="none" w:sz="0" w:space="0" w:color="auto"/>
        <w:bottom w:val="none" w:sz="0" w:space="0" w:color="auto"/>
        <w:right w:val="none" w:sz="0" w:space="0" w:color="auto"/>
      </w:divBdr>
      <w:divsChild>
        <w:div w:id="1082871094">
          <w:marLeft w:val="0"/>
          <w:marRight w:val="0"/>
          <w:marTop w:val="0"/>
          <w:marBottom w:val="0"/>
          <w:divBdr>
            <w:top w:val="none" w:sz="0" w:space="0" w:color="auto"/>
            <w:left w:val="none" w:sz="0" w:space="0" w:color="auto"/>
            <w:bottom w:val="none" w:sz="0" w:space="0" w:color="auto"/>
            <w:right w:val="none" w:sz="0" w:space="0" w:color="auto"/>
          </w:divBdr>
          <w:divsChild>
            <w:div w:id="432165021">
              <w:marLeft w:val="0"/>
              <w:marRight w:val="0"/>
              <w:marTop w:val="0"/>
              <w:marBottom w:val="0"/>
              <w:divBdr>
                <w:top w:val="none" w:sz="0" w:space="0" w:color="auto"/>
                <w:left w:val="none" w:sz="0" w:space="0" w:color="auto"/>
                <w:bottom w:val="none" w:sz="0" w:space="0" w:color="auto"/>
                <w:right w:val="none" w:sz="0" w:space="0" w:color="auto"/>
              </w:divBdr>
              <w:divsChild>
                <w:div w:id="117141729">
                  <w:marLeft w:val="0"/>
                  <w:marRight w:val="0"/>
                  <w:marTop w:val="0"/>
                  <w:marBottom w:val="0"/>
                  <w:divBdr>
                    <w:top w:val="none" w:sz="0" w:space="0" w:color="auto"/>
                    <w:left w:val="none" w:sz="0" w:space="0" w:color="auto"/>
                    <w:bottom w:val="none" w:sz="0" w:space="0" w:color="auto"/>
                    <w:right w:val="none" w:sz="0" w:space="0" w:color="auto"/>
                  </w:divBdr>
                  <w:divsChild>
                    <w:div w:id="1203322764">
                      <w:marLeft w:val="0"/>
                      <w:marRight w:val="0"/>
                      <w:marTop w:val="0"/>
                      <w:marBottom w:val="0"/>
                      <w:divBdr>
                        <w:top w:val="none" w:sz="0" w:space="0" w:color="auto"/>
                        <w:left w:val="none" w:sz="0" w:space="0" w:color="auto"/>
                        <w:bottom w:val="none" w:sz="0" w:space="0" w:color="auto"/>
                        <w:right w:val="none" w:sz="0" w:space="0" w:color="auto"/>
                      </w:divBdr>
                      <w:divsChild>
                        <w:div w:id="17112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437156">
      <w:bodyDiv w:val="1"/>
      <w:marLeft w:val="0"/>
      <w:marRight w:val="0"/>
      <w:marTop w:val="0"/>
      <w:marBottom w:val="0"/>
      <w:divBdr>
        <w:top w:val="none" w:sz="0" w:space="0" w:color="auto"/>
        <w:left w:val="none" w:sz="0" w:space="0" w:color="auto"/>
        <w:bottom w:val="none" w:sz="0" w:space="0" w:color="auto"/>
        <w:right w:val="none" w:sz="0" w:space="0" w:color="auto"/>
      </w:divBdr>
    </w:div>
    <w:div w:id="639771850">
      <w:bodyDiv w:val="1"/>
      <w:marLeft w:val="0"/>
      <w:marRight w:val="0"/>
      <w:marTop w:val="0"/>
      <w:marBottom w:val="0"/>
      <w:divBdr>
        <w:top w:val="none" w:sz="0" w:space="0" w:color="auto"/>
        <w:left w:val="none" w:sz="0" w:space="0" w:color="auto"/>
        <w:bottom w:val="none" w:sz="0" w:space="0" w:color="auto"/>
        <w:right w:val="none" w:sz="0" w:space="0" w:color="auto"/>
      </w:divBdr>
    </w:div>
    <w:div w:id="647634169">
      <w:bodyDiv w:val="1"/>
      <w:marLeft w:val="0"/>
      <w:marRight w:val="0"/>
      <w:marTop w:val="0"/>
      <w:marBottom w:val="0"/>
      <w:divBdr>
        <w:top w:val="none" w:sz="0" w:space="0" w:color="auto"/>
        <w:left w:val="none" w:sz="0" w:space="0" w:color="auto"/>
        <w:bottom w:val="none" w:sz="0" w:space="0" w:color="auto"/>
        <w:right w:val="none" w:sz="0" w:space="0" w:color="auto"/>
      </w:divBdr>
    </w:div>
    <w:div w:id="668560827">
      <w:bodyDiv w:val="1"/>
      <w:marLeft w:val="0"/>
      <w:marRight w:val="0"/>
      <w:marTop w:val="0"/>
      <w:marBottom w:val="0"/>
      <w:divBdr>
        <w:top w:val="none" w:sz="0" w:space="0" w:color="auto"/>
        <w:left w:val="none" w:sz="0" w:space="0" w:color="auto"/>
        <w:bottom w:val="none" w:sz="0" w:space="0" w:color="auto"/>
        <w:right w:val="none" w:sz="0" w:space="0" w:color="auto"/>
      </w:divBdr>
    </w:div>
    <w:div w:id="700977680">
      <w:bodyDiv w:val="1"/>
      <w:marLeft w:val="0"/>
      <w:marRight w:val="0"/>
      <w:marTop w:val="0"/>
      <w:marBottom w:val="0"/>
      <w:divBdr>
        <w:top w:val="none" w:sz="0" w:space="0" w:color="auto"/>
        <w:left w:val="none" w:sz="0" w:space="0" w:color="auto"/>
        <w:bottom w:val="none" w:sz="0" w:space="0" w:color="auto"/>
        <w:right w:val="none" w:sz="0" w:space="0" w:color="auto"/>
      </w:divBdr>
    </w:div>
    <w:div w:id="764228985">
      <w:bodyDiv w:val="1"/>
      <w:marLeft w:val="0"/>
      <w:marRight w:val="0"/>
      <w:marTop w:val="0"/>
      <w:marBottom w:val="0"/>
      <w:divBdr>
        <w:top w:val="none" w:sz="0" w:space="0" w:color="auto"/>
        <w:left w:val="none" w:sz="0" w:space="0" w:color="auto"/>
        <w:bottom w:val="none" w:sz="0" w:space="0" w:color="auto"/>
        <w:right w:val="none" w:sz="0" w:space="0" w:color="auto"/>
      </w:divBdr>
    </w:div>
    <w:div w:id="795756869">
      <w:bodyDiv w:val="1"/>
      <w:marLeft w:val="0"/>
      <w:marRight w:val="0"/>
      <w:marTop w:val="0"/>
      <w:marBottom w:val="0"/>
      <w:divBdr>
        <w:top w:val="none" w:sz="0" w:space="0" w:color="auto"/>
        <w:left w:val="none" w:sz="0" w:space="0" w:color="auto"/>
        <w:bottom w:val="none" w:sz="0" w:space="0" w:color="auto"/>
        <w:right w:val="none" w:sz="0" w:space="0" w:color="auto"/>
      </w:divBdr>
    </w:div>
    <w:div w:id="801197354">
      <w:bodyDiv w:val="1"/>
      <w:marLeft w:val="0"/>
      <w:marRight w:val="0"/>
      <w:marTop w:val="0"/>
      <w:marBottom w:val="0"/>
      <w:divBdr>
        <w:top w:val="none" w:sz="0" w:space="0" w:color="auto"/>
        <w:left w:val="none" w:sz="0" w:space="0" w:color="auto"/>
        <w:bottom w:val="none" w:sz="0" w:space="0" w:color="auto"/>
        <w:right w:val="none" w:sz="0" w:space="0" w:color="auto"/>
      </w:divBdr>
    </w:div>
    <w:div w:id="850069314">
      <w:bodyDiv w:val="1"/>
      <w:marLeft w:val="0"/>
      <w:marRight w:val="0"/>
      <w:marTop w:val="0"/>
      <w:marBottom w:val="0"/>
      <w:divBdr>
        <w:top w:val="none" w:sz="0" w:space="0" w:color="auto"/>
        <w:left w:val="none" w:sz="0" w:space="0" w:color="auto"/>
        <w:bottom w:val="none" w:sz="0" w:space="0" w:color="auto"/>
        <w:right w:val="none" w:sz="0" w:space="0" w:color="auto"/>
      </w:divBdr>
    </w:div>
    <w:div w:id="878206849">
      <w:bodyDiv w:val="1"/>
      <w:marLeft w:val="0"/>
      <w:marRight w:val="0"/>
      <w:marTop w:val="0"/>
      <w:marBottom w:val="0"/>
      <w:divBdr>
        <w:top w:val="none" w:sz="0" w:space="0" w:color="auto"/>
        <w:left w:val="none" w:sz="0" w:space="0" w:color="auto"/>
        <w:bottom w:val="none" w:sz="0" w:space="0" w:color="auto"/>
        <w:right w:val="none" w:sz="0" w:space="0" w:color="auto"/>
      </w:divBdr>
    </w:div>
    <w:div w:id="911889279">
      <w:bodyDiv w:val="1"/>
      <w:marLeft w:val="0"/>
      <w:marRight w:val="0"/>
      <w:marTop w:val="0"/>
      <w:marBottom w:val="0"/>
      <w:divBdr>
        <w:top w:val="none" w:sz="0" w:space="0" w:color="auto"/>
        <w:left w:val="none" w:sz="0" w:space="0" w:color="auto"/>
        <w:bottom w:val="none" w:sz="0" w:space="0" w:color="auto"/>
        <w:right w:val="none" w:sz="0" w:space="0" w:color="auto"/>
      </w:divBdr>
    </w:div>
    <w:div w:id="913667448">
      <w:bodyDiv w:val="1"/>
      <w:marLeft w:val="0"/>
      <w:marRight w:val="0"/>
      <w:marTop w:val="0"/>
      <w:marBottom w:val="0"/>
      <w:divBdr>
        <w:top w:val="none" w:sz="0" w:space="0" w:color="auto"/>
        <w:left w:val="none" w:sz="0" w:space="0" w:color="auto"/>
        <w:bottom w:val="none" w:sz="0" w:space="0" w:color="auto"/>
        <w:right w:val="none" w:sz="0" w:space="0" w:color="auto"/>
      </w:divBdr>
    </w:div>
    <w:div w:id="924731472">
      <w:bodyDiv w:val="1"/>
      <w:marLeft w:val="0"/>
      <w:marRight w:val="0"/>
      <w:marTop w:val="0"/>
      <w:marBottom w:val="0"/>
      <w:divBdr>
        <w:top w:val="none" w:sz="0" w:space="0" w:color="auto"/>
        <w:left w:val="none" w:sz="0" w:space="0" w:color="auto"/>
        <w:bottom w:val="none" w:sz="0" w:space="0" w:color="auto"/>
        <w:right w:val="none" w:sz="0" w:space="0" w:color="auto"/>
      </w:divBdr>
    </w:div>
    <w:div w:id="1008410834">
      <w:bodyDiv w:val="1"/>
      <w:marLeft w:val="0"/>
      <w:marRight w:val="0"/>
      <w:marTop w:val="0"/>
      <w:marBottom w:val="0"/>
      <w:divBdr>
        <w:top w:val="none" w:sz="0" w:space="0" w:color="auto"/>
        <w:left w:val="none" w:sz="0" w:space="0" w:color="auto"/>
        <w:bottom w:val="none" w:sz="0" w:space="0" w:color="auto"/>
        <w:right w:val="none" w:sz="0" w:space="0" w:color="auto"/>
      </w:divBdr>
    </w:div>
    <w:div w:id="1028799380">
      <w:bodyDiv w:val="1"/>
      <w:marLeft w:val="0"/>
      <w:marRight w:val="0"/>
      <w:marTop w:val="0"/>
      <w:marBottom w:val="0"/>
      <w:divBdr>
        <w:top w:val="none" w:sz="0" w:space="0" w:color="auto"/>
        <w:left w:val="none" w:sz="0" w:space="0" w:color="auto"/>
        <w:bottom w:val="none" w:sz="0" w:space="0" w:color="auto"/>
        <w:right w:val="none" w:sz="0" w:space="0" w:color="auto"/>
      </w:divBdr>
    </w:div>
    <w:div w:id="1073577982">
      <w:bodyDiv w:val="1"/>
      <w:marLeft w:val="0"/>
      <w:marRight w:val="0"/>
      <w:marTop w:val="0"/>
      <w:marBottom w:val="0"/>
      <w:divBdr>
        <w:top w:val="none" w:sz="0" w:space="0" w:color="auto"/>
        <w:left w:val="none" w:sz="0" w:space="0" w:color="auto"/>
        <w:bottom w:val="none" w:sz="0" w:space="0" w:color="auto"/>
        <w:right w:val="none" w:sz="0" w:space="0" w:color="auto"/>
      </w:divBdr>
    </w:div>
    <w:div w:id="1090276021">
      <w:bodyDiv w:val="1"/>
      <w:marLeft w:val="0"/>
      <w:marRight w:val="0"/>
      <w:marTop w:val="0"/>
      <w:marBottom w:val="0"/>
      <w:divBdr>
        <w:top w:val="none" w:sz="0" w:space="0" w:color="auto"/>
        <w:left w:val="none" w:sz="0" w:space="0" w:color="auto"/>
        <w:bottom w:val="none" w:sz="0" w:space="0" w:color="auto"/>
        <w:right w:val="none" w:sz="0" w:space="0" w:color="auto"/>
      </w:divBdr>
    </w:div>
    <w:div w:id="1141996537">
      <w:bodyDiv w:val="1"/>
      <w:marLeft w:val="0"/>
      <w:marRight w:val="0"/>
      <w:marTop w:val="0"/>
      <w:marBottom w:val="0"/>
      <w:divBdr>
        <w:top w:val="none" w:sz="0" w:space="0" w:color="auto"/>
        <w:left w:val="none" w:sz="0" w:space="0" w:color="auto"/>
        <w:bottom w:val="none" w:sz="0" w:space="0" w:color="auto"/>
        <w:right w:val="none" w:sz="0" w:space="0" w:color="auto"/>
      </w:divBdr>
    </w:div>
    <w:div w:id="1156997338">
      <w:bodyDiv w:val="1"/>
      <w:marLeft w:val="0"/>
      <w:marRight w:val="0"/>
      <w:marTop w:val="0"/>
      <w:marBottom w:val="0"/>
      <w:divBdr>
        <w:top w:val="none" w:sz="0" w:space="0" w:color="auto"/>
        <w:left w:val="none" w:sz="0" w:space="0" w:color="auto"/>
        <w:bottom w:val="none" w:sz="0" w:space="0" w:color="auto"/>
        <w:right w:val="none" w:sz="0" w:space="0" w:color="auto"/>
      </w:divBdr>
    </w:div>
    <w:div w:id="1162769100">
      <w:bodyDiv w:val="1"/>
      <w:marLeft w:val="0"/>
      <w:marRight w:val="0"/>
      <w:marTop w:val="0"/>
      <w:marBottom w:val="0"/>
      <w:divBdr>
        <w:top w:val="none" w:sz="0" w:space="0" w:color="auto"/>
        <w:left w:val="none" w:sz="0" w:space="0" w:color="auto"/>
        <w:bottom w:val="none" w:sz="0" w:space="0" w:color="auto"/>
        <w:right w:val="none" w:sz="0" w:space="0" w:color="auto"/>
      </w:divBdr>
    </w:div>
    <w:div w:id="1169640050">
      <w:bodyDiv w:val="1"/>
      <w:marLeft w:val="0"/>
      <w:marRight w:val="0"/>
      <w:marTop w:val="0"/>
      <w:marBottom w:val="0"/>
      <w:divBdr>
        <w:top w:val="none" w:sz="0" w:space="0" w:color="auto"/>
        <w:left w:val="none" w:sz="0" w:space="0" w:color="auto"/>
        <w:bottom w:val="none" w:sz="0" w:space="0" w:color="auto"/>
        <w:right w:val="none" w:sz="0" w:space="0" w:color="auto"/>
      </w:divBdr>
    </w:div>
    <w:div w:id="1183202404">
      <w:bodyDiv w:val="1"/>
      <w:marLeft w:val="0"/>
      <w:marRight w:val="0"/>
      <w:marTop w:val="0"/>
      <w:marBottom w:val="0"/>
      <w:divBdr>
        <w:top w:val="none" w:sz="0" w:space="0" w:color="auto"/>
        <w:left w:val="none" w:sz="0" w:space="0" w:color="auto"/>
        <w:bottom w:val="none" w:sz="0" w:space="0" w:color="auto"/>
        <w:right w:val="none" w:sz="0" w:space="0" w:color="auto"/>
      </w:divBdr>
    </w:div>
    <w:div w:id="1188250786">
      <w:bodyDiv w:val="1"/>
      <w:marLeft w:val="0"/>
      <w:marRight w:val="0"/>
      <w:marTop w:val="0"/>
      <w:marBottom w:val="0"/>
      <w:divBdr>
        <w:top w:val="none" w:sz="0" w:space="0" w:color="auto"/>
        <w:left w:val="none" w:sz="0" w:space="0" w:color="auto"/>
        <w:bottom w:val="none" w:sz="0" w:space="0" w:color="auto"/>
        <w:right w:val="none" w:sz="0" w:space="0" w:color="auto"/>
      </w:divBdr>
    </w:div>
    <w:div w:id="1231428029">
      <w:bodyDiv w:val="1"/>
      <w:marLeft w:val="0"/>
      <w:marRight w:val="0"/>
      <w:marTop w:val="0"/>
      <w:marBottom w:val="0"/>
      <w:divBdr>
        <w:top w:val="none" w:sz="0" w:space="0" w:color="auto"/>
        <w:left w:val="none" w:sz="0" w:space="0" w:color="auto"/>
        <w:bottom w:val="none" w:sz="0" w:space="0" w:color="auto"/>
        <w:right w:val="none" w:sz="0" w:space="0" w:color="auto"/>
      </w:divBdr>
    </w:div>
    <w:div w:id="1231649532">
      <w:bodyDiv w:val="1"/>
      <w:marLeft w:val="0"/>
      <w:marRight w:val="0"/>
      <w:marTop w:val="0"/>
      <w:marBottom w:val="0"/>
      <w:divBdr>
        <w:top w:val="none" w:sz="0" w:space="0" w:color="auto"/>
        <w:left w:val="none" w:sz="0" w:space="0" w:color="auto"/>
        <w:bottom w:val="none" w:sz="0" w:space="0" w:color="auto"/>
        <w:right w:val="none" w:sz="0" w:space="0" w:color="auto"/>
      </w:divBdr>
    </w:div>
    <w:div w:id="1280180715">
      <w:bodyDiv w:val="1"/>
      <w:marLeft w:val="0"/>
      <w:marRight w:val="0"/>
      <w:marTop w:val="0"/>
      <w:marBottom w:val="0"/>
      <w:divBdr>
        <w:top w:val="none" w:sz="0" w:space="0" w:color="auto"/>
        <w:left w:val="none" w:sz="0" w:space="0" w:color="auto"/>
        <w:bottom w:val="none" w:sz="0" w:space="0" w:color="auto"/>
        <w:right w:val="none" w:sz="0" w:space="0" w:color="auto"/>
      </w:divBdr>
    </w:div>
    <w:div w:id="1282689635">
      <w:bodyDiv w:val="1"/>
      <w:marLeft w:val="0"/>
      <w:marRight w:val="0"/>
      <w:marTop w:val="0"/>
      <w:marBottom w:val="0"/>
      <w:divBdr>
        <w:top w:val="none" w:sz="0" w:space="0" w:color="auto"/>
        <w:left w:val="none" w:sz="0" w:space="0" w:color="auto"/>
        <w:bottom w:val="none" w:sz="0" w:space="0" w:color="auto"/>
        <w:right w:val="none" w:sz="0" w:space="0" w:color="auto"/>
      </w:divBdr>
    </w:div>
    <w:div w:id="1293247636">
      <w:bodyDiv w:val="1"/>
      <w:marLeft w:val="0"/>
      <w:marRight w:val="0"/>
      <w:marTop w:val="0"/>
      <w:marBottom w:val="0"/>
      <w:divBdr>
        <w:top w:val="none" w:sz="0" w:space="0" w:color="auto"/>
        <w:left w:val="none" w:sz="0" w:space="0" w:color="auto"/>
        <w:bottom w:val="none" w:sz="0" w:space="0" w:color="auto"/>
        <w:right w:val="none" w:sz="0" w:space="0" w:color="auto"/>
      </w:divBdr>
    </w:div>
    <w:div w:id="1293441159">
      <w:bodyDiv w:val="1"/>
      <w:marLeft w:val="0"/>
      <w:marRight w:val="0"/>
      <w:marTop w:val="0"/>
      <w:marBottom w:val="0"/>
      <w:divBdr>
        <w:top w:val="none" w:sz="0" w:space="0" w:color="auto"/>
        <w:left w:val="none" w:sz="0" w:space="0" w:color="auto"/>
        <w:bottom w:val="none" w:sz="0" w:space="0" w:color="auto"/>
        <w:right w:val="none" w:sz="0" w:space="0" w:color="auto"/>
      </w:divBdr>
    </w:div>
    <w:div w:id="1326012403">
      <w:bodyDiv w:val="1"/>
      <w:marLeft w:val="0"/>
      <w:marRight w:val="0"/>
      <w:marTop w:val="0"/>
      <w:marBottom w:val="0"/>
      <w:divBdr>
        <w:top w:val="none" w:sz="0" w:space="0" w:color="auto"/>
        <w:left w:val="none" w:sz="0" w:space="0" w:color="auto"/>
        <w:bottom w:val="none" w:sz="0" w:space="0" w:color="auto"/>
        <w:right w:val="none" w:sz="0" w:space="0" w:color="auto"/>
      </w:divBdr>
    </w:div>
    <w:div w:id="1334995499">
      <w:bodyDiv w:val="1"/>
      <w:marLeft w:val="0"/>
      <w:marRight w:val="0"/>
      <w:marTop w:val="0"/>
      <w:marBottom w:val="0"/>
      <w:divBdr>
        <w:top w:val="none" w:sz="0" w:space="0" w:color="auto"/>
        <w:left w:val="none" w:sz="0" w:space="0" w:color="auto"/>
        <w:bottom w:val="none" w:sz="0" w:space="0" w:color="auto"/>
        <w:right w:val="none" w:sz="0" w:space="0" w:color="auto"/>
      </w:divBdr>
    </w:div>
    <w:div w:id="1379276142">
      <w:bodyDiv w:val="1"/>
      <w:marLeft w:val="0"/>
      <w:marRight w:val="0"/>
      <w:marTop w:val="0"/>
      <w:marBottom w:val="0"/>
      <w:divBdr>
        <w:top w:val="none" w:sz="0" w:space="0" w:color="auto"/>
        <w:left w:val="none" w:sz="0" w:space="0" w:color="auto"/>
        <w:bottom w:val="none" w:sz="0" w:space="0" w:color="auto"/>
        <w:right w:val="none" w:sz="0" w:space="0" w:color="auto"/>
      </w:divBdr>
    </w:div>
    <w:div w:id="1387800543">
      <w:bodyDiv w:val="1"/>
      <w:marLeft w:val="0"/>
      <w:marRight w:val="0"/>
      <w:marTop w:val="0"/>
      <w:marBottom w:val="0"/>
      <w:divBdr>
        <w:top w:val="none" w:sz="0" w:space="0" w:color="auto"/>
        <w:left w:val="none" w:sz="0" w:space="0" w:color="auto"/>
        <w:bottom w:val="none" w:sz="0" w:space="0" w:color="auto"/>
        <w:right w:val="none" w:sz="0" w:space="0" w:color="auto"/>
      </w:divBdr>
    </w:div>
    <w:div w:id="1416902488">
      <w:bodyDiv w:val="1"/>
      <w:marLeft w:val="0"/>
      <w:marRight w:val="0"/>
      <w:marTop w:val="0"/>
      <w:marBottom w:val="0"/>
      <w:divBdr>
        <w:top w:val="none" w:sz="0" w:space="0" w:color="auto"/>
        <w:left w:val="none" w:sz="0" w:space="0" w:color="auto"/>
        <w:bottom w:val="none" w:sz="0" w:space="0" w:color="auto"/>
        <w:right w:val="none" w:sz="0" w:space="0" w:color="auto"/>
      </w:divBdr>
    </w:div>
    <w:div w:id="1437024186">
      <w:bodyDiv w:val="1"/>
      <w:marLeft w:val="0"/>
      <w:marRight w:val="0"/>
      <w:marTop w:val="0"/>
      <w:marBottom w:val="0"/>
      <w:divBdr>
        <w:top w:val="none" w:sz="0" w:space="0" w:color="auto"/>
        <w:left w:val="none" w:sz="0" w:space="0" w:color="auto"/>
        <w:bottom w:val="none" w:sz="0" w:space="0" w:color="auto"/>
        <w:right w:val="none" w:sz="0" w:space="0" w:color="auto"/>
      </w:divBdr>
    </w:div>
    <w:div w:id="1450003196">
      <w:bodyDiv w:val="1"/>
      <w:marLeft w:val="0"/>
      <w:marRight w:val="0"/>
      <w:marTop w:val="0"/>
      <w:marBottom w:val="0"/>
      <w:divBdr>
        <w:top w:val="none" w:sz="0" w:space="0" w:color="auto"/>
        <w:left w:val="none" w:sz="0" w:space="0" w:color="auto"/>
        <w:bottom w:val="none" w:sz="0" w:space="0" w:color="auto"/>
        <w:right w:val="none" w:sz="0" w:space="0" w:color="auto"/>
      </w:divBdr>
    </w:div>
    <w:div w:id="1493715102">
      <w:bodyDiv w:val="1"/>
      <w:marLeft w:val="0"/>
      <w:marRight w:val="0"/>
      <w:marTop w:val="0"/>
      <w:marBottom w:val="0"/>
      <w:divBdr>
        <w:top w:val="none" w:sz="0" w:space="0" w:color="auto"/>
        <w:left w:val="none" w:sz="0" w:space="0" w:color="auto"/>
        <w:bottom w:val="none" w:sz="0" w:space="0" w:color="auto"/>
        <w:right w:val="none" w:sz="0" w:space="0" w:color="auto"/>
      </w:divBdr>
    </w:div>
    <w:div w:id="1495877005">
      <w:bodyDiv w:val="1"/>
      <w:marLeft w:val="0"/>
      <w:marRight w:val="0"/>
      <w:marTop w:val="0"/>
      <w:marBottom w:val="0"/>
      <w:divBdr>
        <w:top w:val="none" w:sz="0" w:space="0" w:color="auto"/>
        <w:left w:val="none" w:sz="0" w:space="0" w:color="auto"/>
        <w:bottom w:val="none" w:sz="0" w:space="0" w:color="auto"/>
        <w:right w:val="none" w:sz="0" w:space="0" w:color="auto"/>
      </w:divBdr>
    </w:div>
    <w:div w:id="1503741313">
      <w:bodyDiv w:val="1"/>
      <w:marLeft w:val="0"/>
      <w:marRight w:val="0"/>
      <w:marTop w:val="0"/>
      <w:marBottom w:val="0"/>
      <w:divBdr>
        <w:top w:val="none" w:sz="0" w:space="0" w:color="auto"/>
        <w:left w:val="none" w:sz="0" w:space="0" w:color="auto"/>
        <w:bottom w:val="none" w:sz="0" w:space="0" w:color="auto"/>
        <w:right w:val="none" w:sz="0" w:space="0" w:color="auto"/>
      </w:divBdr>
    </w:div>
    <w:div w:id="1518303562">
      <w:bodyDiv w:val="1"/>
      <w:marLeft w:val="0"/>
      <w:marRight w:val="0"/>
      <w:marTop w:val="0"/>
      <w:marBottom w:val="0"/>
      <w:divBdr>
        <w:top w:val="none" w:sz="0" w:space="0" w:color="auto"/>
        <w:left w:val="none" w:sz="0" w:space="0" w:color="auto"/>
        <w:bottom w:val="none" w:sz="0" w:space="0" w:color="auto"/>
        <w:right w:val="none" w:sz="0" w:space="0" w:color="auto"/>
      </w:divBdr>
      <w:divsChild>
        <w:div w:id="366486142">
          <w:marLeft w:val="0"/>
          <w:marRight w:val="0"/>
          <w:marTop w:val="0"/>
          <w:marBottom w:val="0"/>
          <w:divBdr>
            <w:top w:val="none" w:sz="0" w:space="0" w:color="auto"/>
            <w:left w:val="none" w:sz="0" w:space="0" w:color="auto"/>
            <w:bottom w:val="none" w:sz="0" w:space="0" w:color="auto"/>
            <w:right w:val="none" w:sz="0" w:space="0" w:color="auto"/>
          </w:divBdr>
          <w:divsChild>
            <w:div w:id="1633558571">
              <w:marLeft w:val="0"/>
              <w:marRight w:val="0"/>
              <w:marTop w:val="0"/>
              <w:marBottom w:val="0"/>
              <w:divBdr>
                <w:top w:val="none" w:sz="0" w:space="0" w:color="auto"/>
                <w:left w:val="none" w:sz="0" w:space="0" w:color="auto"/>
                <w:bottom w:val="none" w:sz="0" w:space="0" w:color="auto"/>
                <w:right w:val="none" w:sz="0" w:space="0" w:color="auto"/>
              </w:divBdr>
              <w:divsChild>
                <w:div w:id="2018998143">
                  <w:marLeft w:val="0"/>
                  <w:marRight w:val="0"/>
                  <w:marTop w:val="0"/>
                  <w:marBottom w:val="0"/>
                  <w:divBdr>
                    <w:top w:val="none" w:sz="0" w:space="0" w:color="auto"/>
                    <w:left w:val="none" w:sz="0" w:space="0" w:color="auto"/>
                    <w:bottom w:val="none" w:sz="0" w:space="0" w:color="auto"/>
                    <w:right w:val="none" w:sz="0" w:space="0" w:color="auto"/>
                  </w:divBdr>
                  <w:divsChild>
                    <w:div w:id="1509636340">
                      <w:marLeft w:val="0"/>
                      <w:marRight w:val="0"/>
                      <w:marTop w:val="0"/>
                      <w:marBottom w:val="0"/>
                      <w:divBdr>
                        <w:top w:val="none" w:sz="0" w:space="0" w:color="auto"/>
                        <w:left w:val="none" w:sz="0" w:space="0" w:color="auto"/>
                        <w:bottom w:val="none" w:sz="0" w:space="0" w:color="auto"/>
                        <w:right w:val="none" w:sz="0" w:space="0" w:color="auto"/>
                      </w:divBdr>
                      <w:divsChild>
                        <w:div w:id="1384333976">
                          <w:marLeft w:val="0"/>
                          <w:marRight w:val="0"/>
                          <w:marTop w:val="0"/>
                          <w:marBottom w:val="0"/>
                          <w:divBdr>
                            <w:top w:val="none" w:sz="0" w:space="0" w:color="auto"/>
                            <w:left w:val="none" w:sz="0" w:space="0" w:color="auto"/>
                            <w:bottom w:val="none" w:sz="0" w:space="0" w:color="auto"/>
                            <w:right w:val="none" w:sz="0" w:space="0" w:color="auto"/>
                          </w:divBdr>
                          <w:divsChild>
                            <w:div w:id="289672745">
                              <w:marLeft w:val="0"/>
                              <w:marRight w:val="0"/>
                              <w:marTop w:val="0"/>
                              <w:marBottom w:val="0"/>
                              <w:divBdr>
                                <w:top w:val="none" w:sz="0" w:space="0" w:color="auto"/>
                                <w:left w:val="none" w:sz="0" w:space="0" w:color="auto"/>
                                <w:bottom w:val="none" w:sz="0" w:space="0" w:color="auto"/>
                                <w:right w:val="none" w:sz="0" w:space="0" w:color="auto"/>
                              </w:divBdr>
                              <w:divsChild>
                                <w:div w:id="879708406">
                                  <w:marLeft w:val="0"/>
                                  <w:marRight w:val="0"/>
                                  <w:marTop w:val="0"/>
                                  <w:marBottom w:val="0"/>
                                  <w:divBdr>
                                    <w:top w:val="none" w:sz="0" w:space="0" w:color="auto"/>
                                    <w:left w:val="none" w:sz="0" w:space="0" w:color="auto"/>
                                    <w:bottom w:val="none" w:sz="0" w:space="0" w:color="auto"/>
                                    <w:right w:val="none" w:sz="0" w:space="0" w:color="auto"/>
                                  </w:divBdr>
                                  <w:divsChild>
                                    <w:div w:id="7429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213592">
      <w:bodyDiv w:val="1"/>
      <w:marLeft w:val="0"/>
      <w:marRight w:val="0"/>
      <w:marTop w:val="0"/>
      <w:marBottom w:val="0"/>
      <w:divBdr>
        <w:top w:val="none" w:sz="0" w:space="0" w:color="auto"/>
        <w:left w:val="none" w:sz="0" w:space="0" w:color="auto"/>
        <w:bottom w:val="none" w:sz="0" w:space="0" w:color="auto"/>
        <w:right w:val="none" w:sz="0" w:space="0" w:color="auto"/>
      </w:divBdr>
    </w:div>
    <w:div w:id="1557936457">
      <w:bodyDiv w:val="1"/>
      <w:marLeft w:val="0"/>
      <w:marRight w:val="0"/>
      <w:marTop w:val="0"/>
      <w:marBottom w:val="0"/>
      <w:divBdr>
        <w:top w:val="none" w:sz="0" w:space="0" w:color="auto"/>
        <w:left w:val="none" w:sz="0" w:space="0" w:color="auto"/>
        <w:bottom w:val="none" w:sz="0" w:space="0" w:color="auto"/>
        <w:right w:val="none" w:sz="0" w:space="0" w:color="auto"/>
      </w:divBdr>
    </w:div>
    <w:div w:id="1596010640">
      <w:bodyDiv w:val="1"/>
      <w:marLeft w:val="0"/>
      <w:marRight w:val="0"/>
      <w:marTop w:val="0"/>
      <w:marBottom w:val="0"/>
      <w:divBdr>
        <w:top w:val="none" w:sz="0" w:space="0" w:color="auto"/>
        <w:left w:val="none" w:sz="0" w:space="0" w:color="auto"/>
        <w:bottom w:val="none" w:sz="0" w:space="0" w:color="auto"/>
        <w:right w:val="none" w:sz="0" w:space="0" w:color="auto"/>
      </w:divBdr>
    </w:div>
    <w:div w:id="1626538638">
      <w:bodyDiv w:val="1"/>
      <w:marLeft w:val="0"/>
      <w:marRight w:val="0"/>
      <w:marTop w:val="0"/>
      <w:marBottom w:val="0"/>
      <w:divBdr>
        <w:top w:val="none" w:sz="0" w:space="0" w:color="auto"/>
        <w:left w:val="none" w:sz="0" w:space="0" w:color="auto"/>
        <w:bottom w:val="none" w:sz="0" w:space="0" w:color="auto"/>
        <w:right w:val="none" w:sz="0" w:space="0" w:color="auto"/>
      </w:divBdr>
    </w:div>
    <w:div w:id="1636443551">
      <w:bodyDiv w:val="1"/>
      <w:marLeft w:val="0"/>
      <w:marRight w:val="0"/>
      <w:marTop w:val="0"/>
      <w:marBottom w:val="0"/>
      <w:divBdr>
        <w:top w:val="none" w:sz="0" w:space="0" w:color="auto"/>
        <w:left w:val="none" w:sz="0" w:space="0" w:color="auto"/>
        <w:bottom w:val="none" w:sz="0" w:space="0" w:color="auto"/>
        <w:right w:val="none" w:sz="0" w:space="0" w:color="auto"/>
      </w:divBdr>
    </w:div>
    <w:div w:id="1658529228">
      <w:bodyDiv w:val="1"/>
      <w:marLeft w:val="0"/>
      <w:marRight w:val="0"/>
      <w:marTop w:val="0"/>
      <w:marBottom w:val="0"/>
      <w:divBdr>
        <w:top w:val="none" w:sz="0" w:space="0" w:color="auto"/>
        <w:left w:val="none" w:sz="0" w:space="0" w:color="auto"/>
        <w:bottom w:val="none" w:sz="0" w:space="0" w:color="auto"/>
        <w:right w:val="none" w:sz="0" w:space="0" w:color="auto"/>
      </w:divBdr>
    </w:div>
    <w:div w:id="1666935562">
      <w:bodyDiv w:val="1"/>
      <w:marLeft w:val="0"/>
      <w:marRight w:val="0"/>
      <w:marTop w:val="0"/>
      <w:marBottom w:val="0"/>
      <w:divBdr>
        <w:top w:val="none" w:sz="0" w:space="0" w:color="auto"/>
        <w:left w:val="none" w:sz="0" w:space="0" w:color="auto"/>
        <w:bottom w:val="none" w:sz="0" w:space="0" w:color="auto"/>
        <w:right w:val="none" w:sz="0" w:space="0" w:color="auto"/>
      </w:divBdr>
    </w:div>
    <w:div w:id="1672831776">
      <w:bodyDiv w:val="1"/>
      <w:marLeft w:val="0"/>
      <w:marRight w:val="0"/>
      <w:marTop w:val="0"/>
      <w:marBottom w:val="0"/>
      <w:divBdr>
        <w:top w:val="none" w:sz="0" w:space="0" w:color="auto"/>
        <w:left w:val="none" w:sz="0" w:space="0" w:color="auto"/>
        <w:bottom w:val="none" w:sz="0" w:space="0" w:color="auto"/>
        <w:right w:val="none" w:sz="0" w:space="0" w:color="auto"/>
      </w:divBdr>
    </w:div>
    <w:div w:id="1675187402">
      <w:bodyDiv w:val="1"/>
      <w:marLeft w:val="0"/>
      <w:marRight w:val="0"/>
      <w:marTop w:val="0"/>
      <w:marBottom w:val="0"/>
      <w:divBdr>
        <w:top w:val="none" w:sz="0" w:space="0" w:color="auto"/>
        <w:left w:val="none" w:sz="0" w:space="0" w:color="auto"/>
        <w:bottom w:val="none" w:sz="0" w:space="0" w:color="auto"/>
        <w:right w:val="none" w:sz="0" w:space="0" w:color="auto"/>
      </w:divBdr>
    </w:div>
    <w:div w:id="1702170913">
      <w:bodyDiv w:val="1"/>
      <w:marLeft w:val="0"/>
      <w:marRight w:val="0"/>
      <w:marTop w:val="0"/>
      <w:marBottom w:val="0"/>
      <w:divBdr>
        <w:top w:val="none" w:sz="0" w:space="0" w:color="auto"/>
        <w:left w:val="none" w:sz="0" w:space="0" w:color="auto"/>
        <w:bottom w:val="none" w:sz="0" w:space="0" w:color="auto"/>
        <w:right w:val="none" w:sz="0" w:space="0" w:color="auto"/>
      </w:divBdr>
    </w:div>
    <w:div w:id="1706908012">
      <w:bodyDiv w:val="1"/>
      <w:marLeft w:val="0"/>
      <w:marRight w:val="0"/>
      <w:marTop w:val="0"/>
      <w:marBottom w:val="0"/>
      <w:divBdr>
        <w:top w:val="none" w:sz="0" w:space="0" w:color="auto"/>
        <w:left w:val="none" w:sz="0" w:space="0" w:color="auto"/>
        <w:bottom w:val="none" w:sz="0" w:space="0" w:color="auto"/>
        <w:right w:val="none" w:sz="0" w:space="0" w:color="auto"/>
      </w:divBdr>
      <w:divsChild>
        <w:div w:id="1264650049">
          <w:marLeft w:val="0"/>
          <w:marRight w:val="0"/>
          <w:marTop w:val="0"/>
          <w:marBottom w:val="0"/>
          <w:divBdr>
            <w:top w:val="none" w:sz="0" w:space="0" w:color="auto"/>
            <w:left w:val="none" w:sz="0" w:space="0" w:color="auto"/>
            <w:bottom w:val="none" w:sz="0" w:space="0" w:color="auto"/>
            <w:right w:val="none" w:sz="0" w:space="0" w:color="auto"/>
          </w:divBdr>
          <w:divsChild>
            <w:div w:id="1102798413">
              <w:marLeft w:val="0"/>
              <w:marRight w:val="0"/>
              <w:marTop w:val="0"/>
              <w:marBottom w:val="0"/>
              <w:divBdr>
                <w:top w:val="none" w:sz="0" w:space="0" w:color="auto"/>
                <w:left w:val="none" w:sz="0" w:space="0" w:color="auto"/>
                <w:bottom w:val="none" w:sz="0" w:space="0" w:color="auto"/>
                <w:right w:val="none" w:sz="0" w:space="0" w:color="auto"/>
              </w:divBdr>
              <w:divsChild>
                <w:div w:id="176502356">
                  <w:marLeft w:val="0"/>
                  <w:marRight w:val="0"/>
                  <w:marTop w:val="0"/>
                  <w:marBottom w:val="0"/>
                  <w:divBdr>
                    <w:top w:val="none" w:sz="0" w:space="0" w:color="auto"/>
                    <w:left w:val="none" w:sz="0" w:space="0" w:color="auto"/>
                    <w:bottom w:val="none" w:sz="0" w:space="0" w:color="auto"/>
                    <w:right w:val="none" w:sz="0" w:space="0" w:color="auto"/>
                  </w:divBdr>
                  <w:divsChild>
                    <w:div w:id="487479406">
                      <w:marLeft w:val="0"/>
                      <w:marRight w:val="0"/>
                      <w:marTop w:val="0"/>
                      <w:marBottom w:val="0"/>
                      <w:divBdr>
                        <w:top w:val="none" w:sz="0" w:space="0" w:color="auto"/>
                        <w:left w:val="none" w:sz="0" w:space="0" w:color="auto"/>
                        <w:bottom w:val="none" w:sz="0" w:space="0" w:color="auto"/>
                        <w:right w:val="none" w:sz="0" w:space="0" w:color="auto"/>
                      </w:divBdr>
                      <w:divsChild>
                        <w:div w:id="1542672847">
                          <w:marLeft w:val="0"/>
                          <w:marRight w:val="0"/>
                          <w:marTop w:val="0"/>
                          <w:marBottom w:val="0"/>
                          <w:divBdr>
                            <w:top w:val="none" w:sz="0" w:space="0" w:color="auto"/>
                            <w:left w:val="none" w:sz="0" w:space="0" w:color="auto"/>
                            <w:bottom w:val="none" w:sz="0" w:space="0" w:color="auto"/>
                            <w:right w:val="none" w:sz="0" w:space="0" w:color="auto"/>
                          </w:divBdr>
                          <w:divsChild>
                            <w:div w:id="1398363848">
                              <w:marLeft w:val="0"/>
                              <w:marRight w:val="0"/>
                              <w:marTop w:val="0"/>
                              <w:marBottom w:val="0"/>
                              <w:divBdr>
                                <w:top w:val="none" w:sz="0" w:space="0" w:color="auto"/>
                                <w:left w:val="none" w:sz="0" w:space="0" w:color="auto"/>
                                <w:bottom w:val="none" w:sz="0" w:space="0" w:color="auto"/>
                                <w:right w:val="none" w:sz="0" w:space="0" w:color="auto"/>
                              </w:divBdr>
                              <w:divsChild>
                                <w:div w:id="1074208682">
                                  <w:marLeft w:val="0"/>
                                  <w:marRight w:val="0"/>
                                  <w:marTop w:val="0"/>
                                  <w:marBottom w:val="0"/>
                                  <w:divBdr>
                                    <w:top w:val="none" w:sz="0" w:space="0" w:color="auto"/>
                                    <w:left w:val="none" w:sz="0" w:space="0" w:color="auto"/>
                                    <w:bottom w:val="none" w:sz="0" w:space="0" w:color="auto"/>
                                    <w:right w:val="none" w:sz="0" w:space="0" w:color="auto"/>
                                  </w:divBdr>
                                  <w:divsChild>
                                    <w:div w:id="599996365">
                                      <w:marLeft w:val="0"/>
                                      <w:marRight w:val="0"/>
                                      <w:marTop w:val="0"/>
                                      <w:marBottom w:val="0"/>
                                      <w:divBdr>
                                        <w:top w:val="none" w:sz="0" w:space="0" w:color="auto"/>
                                        <w:left w:val="none" w:sz="0" w:space="0" w:color="auto"/>
                                        <w:bottom w:val="none" w:sz="0" w:space="0" w:color="auto"/>
                                        <w:right w:val="none" w:sz="0" w:space="0" w:color="auto"/>
                                      </w:divBdr>
                                      <w:divsChild>
                                        <w:div w:id="1070268934">
                                          <w:marLeft w:val="0"/>
                                          <w:marRight w:val="0"/>
                                          <w:marTop w:val="0"/>
                                          <w:marBottom w:val="0"/>
                                          <w:divBdr>
                                            <w:top w:val="none" w:sz="0" w:space="0" w:color="auto"/>
                                            <w:left w:val="none" w:sz="0" w:space="0" w:color="auto"/>
                                            <w:bottom w:val="none" w:sz="0" w:space="0" w:color="auto"/>
                                            <w:right w:val="none" w:sz="0" w:space="0" w:color="auto"/>
                                          </w:divBdr>
                                          <w:divsChild>
                                            <w:div w:id="19653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645409">
      <w:bodyDiv w:val="1"/>
      <w:marLeft w:val="0"/>
      <w:marRight w:val="0"/>
      <w:marTop w:val="0"/>
      <w:marBottom w:val="0"/>
      <w:divBdr>
        <w:top w:val="none" w:sz="0" w:space="0" w:color="auto"/>
        <w:left w:val="none" w:sz="0" w:space="0" w:color="auto"/>
        <w:bottom w:val="none" w:sz="0" w:space="0" w:color="auto"/>
        <w:right w:val="none" w:sz="0" w:space="0" w:color="auto"/>
      </w:divBdr>
    </w:div>
    <w:div w:id="1734235358">
      <w:bodyDiv w:val="1"/>
      <w:marLeft w:val="0"/>
      <w:marRight w:val="0"/>
      <w:marTop w:val="0"/>
      <w:marBottom w:val="0"/>
      <w:divBdr>
        <w:top w:val="none" w:sz="0" w:space="0" w:color="auto"/>
        <w:left w:val="none" w:sz="0" w:space="0" w:color="auto"/>
        <w:bottom w:val="none" w:sz="0" w:space="0" w:color="auto"/>
        <w:right w:val="none" w:sz="0" w:space="0" w:color="auto"/>
      </w:divBdr>
    </w:div>
    <w:div w:id="1764300522">
      <w:bodyDiv w:val="1"/>
      <w:marLeft w:val="0"/>
      <w:marRight w:val="0"/>
      <w:marTop w:val="0"/>
      <w:marBottom w:val="0"/>
      <w:divBdr>
        <w:top w:val="none" w:sz="0" w:space="0" w:color="auto"/>
        <w:left w:val="none" w:sz="0" w:space="0" w:color="auto"/>
        <w:bottom w:val="none" w:sz="0" w:space="0" w:color="auto"/>
        <w:right w:val="none" w:sz="0" w:space="0" w:color="auto"/>
      </w:divBdr>
    </w:div>
    <w:div w:id="1836796335">
      <w:bodyDiv w:val="1"/>
      <w:marLeft w:val="0"/>
      <w:marRight w:val="0"/>
      <w:marTop w:val="0"/>
      <w:marBottom w:val="0"/>
      <w:divBdr>
        <w:top w:val="none" w:sz="0" w:space="0" w:color="auto"/>
        <w:left w:val="none" w:sz="0" w:space="0" w:color="auto"/>
        <w:bottom w:val="none" w:sz="0" w:space="0" w:color="auto"/>
        <w:right w:val="none" w:sz="0" w:space="0" w:color="auto"/>
      </w:divBdr>
    </w:div>
    <w:div w:id="1864005999">
      <w:bodyDiv w:val="1"/>
      <w:marLeft w:val="0"/>
      <w:marRight w:val="0"/>
      <w:marTop w:val="0"/>
      <w:marBottom w:val="0"/>
      <w:divBdr>
        <w:top w:val="none" w:sz="0" w:space="0" w:color="auto"/>
        <w:left w:val="none" w:sz="0" w:space="0" w:color="auto"/>
        <w:bottom w:val="none" w:sz="0" w:space="0" w:color="auto"/>
        <w:right w:val="none" w:sz="0" w:space="0" w:color="auto"/>
      </w:divBdr>
    </w:div>
    <w:div w:id="1880194741">
      <w:bodyDiv w:val="1"/>
      <w:marLeft w:val="0"/>
      <w:marRight w:val="0"/>
      <w:marTop w:val="0"/>
      <w:marBottom w:val="0"/>
      <w:divBdr>
        <w:top w:val="none" w:sz="0" w:space="0" w:color="auto"/>
        <w:left w:val="none" w:sz="0" w:space="0" w:color="auto"/>
        <w:bottom w:val="none" w:sz="0" w:space="0" w:color="auto"/>
        <w:right w:val="none" w:sz="0" w:space="0" w:color="auto"/>
      </w:divBdr>
    </w:div>
    <w:div w:id="1883709557">
      <w:bodyDiv w:val="1"/>
      <w:marLeft w:val="0"/>
      <w:marRight w:val="0"/>
      <w:marTop w:val="0"/>
      <w:marBottom w:val="0"/>
      <w:divBdr>
        <w:top w:val="none" w:sz="0" w:space="0" w:color="auto"/>
        <w:left w:val="none" w:sz="0" w:space="0" w:color="auto"/>
        <w:bottom w:val="none" w:sz="0" w:space="0" w:color="auto"/>
        <w:right w:val="none" w:sz="0" w:space="0" w:color="auto"/>
      </w:divBdr>
    </w:div>
    <w:div w:id="1889878362">
      <w:bodyDiv w:val="1"/>
      <w:marLeft w:val="0"/>
      <w:marRight w:val="0"/>
      <w:marTop w:val="0"/>
      <w:marBottom w:val="0"/>
      <w:divBdr>
        <w:top w:val="none" w:sz="0" w:space="0" w:color="auto"/>
        <w:left w:val="none" w:sz="0" w:space="0" w:color="auto"/>
        <w:bottom w:val="none" w:sz="0" w:space="0" w:color="auto"/>
        <w:right w:val="none" w:sz="0" w:space="0" w:color="auto"/>
      </w:divBdr>
    </w:div>
    <w:div w:id="1903784185">
      <w:bodyDiv w:val="1"/>
      <w:marLeft w:val="0"/>
      <w:marRight w:val="0"/>
      <w:marTop w:val="0"/>
      <w:marBottom w:val="0"/>
      <w:divBdr>
        <w:top w:val="none" w:sz="0" w:space="0" w:color="auto"/>
        <w:left w:val="none" w:sz="0" w:space="0" w:color="auto"/>
        <w:bottom w:val="none" w:sz="0" w:space="0" w:color="auto"/>
        <w:right w:val="none" w:sz="0" w:space="0" w:color="auto"/>
      </w:divBdr>
      <w:divsChild>
        <w:div w:id="819275471">
          <w:marLeft w:val="0"/>
          <w:marRight w:val="0"/>
          <w:marTop w:val="0"/>
          <w:marBottom w:val="0"/>
          <w:divBdr>
            <w:top w:val="none" w:sz="0" w:space="0" w:color="auto"/>
            <w:left w:val="none" w:sz="0" w:space="0" w:color="auto"/>
            <w:bottom w:val="none" w:sz="0" w:space="0" w:color="auto"/>
            <w:right w:val="none" w:sz="0" w:space="0" w:color="auto"/>
          </w:divBdr>
          <w:divsChild>
            <w:div w:id="19008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4204">
      <w:bodyDiv w:val="1"/>
      <w:marLeft w:val="0"/>
      <w:marRight w:val="0"/>
      <w:marTop w:val="0"/>
      <w:marBottom w:val="0"/>
      <w:divBdr>
        <w:top w:val="none" w:sz="0" w:space="0" w:color="auto"/>
        <w:left w:val="none" w:sz="0" w:space="0" w:color="auto"/>
        <w:bottom w:val="none" w:sz="0" w:space="0" w:color="auto"/>
        <w:right w:val="none" w:sz="0" w:space="0" w:color="auto"/>
      </w:divBdr>
    </w:div>
    <w:div w:id="1928465294">
      <w:bodyDiv w:val="1"/>
      <w:marLeft w:val="0"/>
      <w:marRight w:val="0"/>
      <w:marTop w:val="0"/>
      <w:marBottom w:val="0"/>
      <w:divBdr>
        <w:top w:val="none" w:sz="0" w:space="0" w:color="auto"/>
        <w:left w:val="none" w:sz="0" w:space="0" w:color="auto"/>
        <w:bottom w:val="none" w:sz="0" w:space="0" w:color="auto"/>
        <w:right w:val="none" w:sz="0" w:space="0" w:color="auto"/>
      </w:divBdr>
    </w:div>
    <w:div w:id="1947883352">
      <w:bodyDiv w:val="1"/>
      <w:marLeft w:val="0"/>
      <w:marRight w:val="0"/>
      <w:marTop w:val="0"/>
      <w:marBottom w:val="0"/>
      <w:divBdr>
        <w:top w:val="none" w:sz="0" w:space="0" w:color="auto"/>
        <w:left w:val="none" w:sz="0" w:space="0" w:color="auto"/>
        <w:bottom w:val="none" w:sz="0" w:space="0" w:color="auto"/>
        <w:right w:val="none" w:sz="0" w:space="0" w:color="auto"/>
      </w:divBdr>
    </w:div>
    <w:div w:id="1950115558">
      <w:bodyDiv w:val="1"/>
      <w:marLeft w:val="0"/>
      <w:marRight w:val="0"/>
      <w:marTop w:val="0"/>
      <w:marBottom w:val="0"/>
      <w:divBdr>
        <w:top w:val="none" w:sz="0" w:space="0" w:color="auto"/>
        <w:left w:val="none" w:sz="0" w:space="0" w:color="auto"/>
        <w:bottom w:val="none" w:sz="0" w:space="0" w:color="auto"/>
        <w:right w:val="none" w:sz="0" w:space="0" w:color="auto"/>
      </w:divBdr>
      <w:divsChild>
        <w:div w:id="129442725">
          <w:marLeft w:val="0"/>
          <w:marRight w:val="0"/>
          <w:marTop w:val="0"/>
          <w:marBottom w:val="0"/>
          <w:divBdr>
            <w:top w:val="none" w:sz="0" w:space="0" w:color="auto"/>
            <w:left w:val="none" w:sz="0" w:space="0" w:color="auto"/>
            <w:bottom w:val="none" w:sz="0" w:space="0" w:color="auto"/>
            <w:right w:val="none" w:sz="0" w:space="0" w:color="auto"/>
          </w:divBdr>
          <w:divsChild>
            <w:div w:id="14659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8586">
      <w:bodyDiv w:val="1"/>
      <w:marLeft w:val="0"/>
      <w:marRight w:val="0"/>
      <w:marTop w:val="0"/>
      <w:marBottom w:val="0"/>
      <w:divBdr>
        <w:top w:val="none" w:sz="0" w:space="0" w:color="auto"/>
        <w:left w:val="none" w:sz="0" w:space="0" w:color="auto"/>
        <w:bottom w:val="none" w:sz="0" w:space="0" w:color="auto"/>
        <w:right w:val="none" w:sz="0" w:space="0" w:color="auto"/>
      </w:divBdr>
    </w:div>
    <w:div w:id="2055037698">
      <w:bodyDiv w:val="1"/>
      <w:marLeft w:val="0"/>
      <w:marRight w:val="0"/>
      <w:marTop w:val="0"/>
      <w:marBottom w:val="0"/>
      <w:divBdr>
        <w:top w:val="none" w:sz="0" w:space="0" w:color="auto"/>
        <w:left w:val="none" w:sz="0" w:space="0" w:color="auto"/>
        <w:bottom w:val="none" w:sz="0" w:space="0" w:color="auto"/>
        <w:right w:val="none" w:sz="0" w:space="0" w:color="auto"/>
      </w:divBdr>
    </w:div>
    <w:div w:id="2055301781">
      <w:bodyDiv w:val="1"/>
      <w:marLeft w:val="0"/>
      <w:marRight w:val="0"/>
      <w:marTop w:val="0"/>
      <w:marBottom w:val="0"/>
      <w:divBdr>
        <w:top w:val="none" w:sz="0" w:space="0" w:color="auto"/>
        <w:left w:val="none" w:sz="0" w:space="0" w:color="auto"/>
        <w:bottom w:val="none" w:sz="0" w:space="0" w:color="auto"/>
        <w:right w:val="none" w:sz="0" w:space="0" w:color="auto"/>
      </w:divBdr>
    </w:div>
    <w:div w:id="2084795132">
      <w:bodyDiv w:val="1"/>
      <w:marLeft w:val="0"/>
      <w:marRight w:val="0"/>
      <w:marTop w:val="0"/>
      <w:marBottom w:val="0"/>
      <w:divBdr>
        <w:top w:val="none" w:sz="0" w:space="0" w:color="auto"/>
        <w:left w:val="none" w:sz="0" w:space="0" w:color="auto"/>
        <w:bottom w:val="none" w:sz="0" w:space="0" w:color="auto"/>
        <w:right w:val="none" w:sz="0" w:space="0" w:color="auto"/>
      </w:divBdr>
    </w:div>
    <w:div w:id="21076547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CFF3E78868040ACC0EB64BDC8DF21" ma:contentTypeVersion="4" ma:contentTypeDescription="Create a new document." ma:contentTypeScope="" ma:versionID="ac7f104740a7118ad37b59bae9f2b29e">
  <xsd:schema xmlns:xsd="http://www.w3.org/2001/XMLSchema" xmlns:xs="http://www.w3.org/2001/XMLSchema" xmlns:p="http://schemas.microsoft.com/office/2006/metadata/properties" xmlns:ns2="17c4b9a7-c66b-457a-830c-eb7c55b34fc5" xmlns:ns3="a5db64a4-e7b5-48a1-8d87-541e28fbb24f" targetNamespace="http://schemas.microsoft.com/office/2006/metadata/properties" ma:root="true" ma:fieldsID="21e2c8cba0bc6fe0d78b2a59cfe81be1" ns2:_="" ns3:_="">
    <xsd:import namespace="17c4b9a7-c66b-457a-830c-eb7c55b34fc5"/>
    <xsd:import namespace="a5db64a4-e7b5-48a1-8d87-541e28fbb2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4b9a7-c66b-457a-830c-eb7c55b34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db64a4-e7b5-48a1-8d87-541e28fbb2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92C4D-67B6-4C7B-8E66-8091BB80F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4b9a7-c66b-457a-830c-eb7c55b34fc5"/>
    <ds:schemaRef ds:uri="a5db64a4-e7b5-48a1-8d87-541e28fbb2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F83166-2D02-427D-AA99-00E0D498EB0E}">
  <ds:schemaRefs>
    <ds:schemaRef ds:uri="http://schemas.microsoft.com/sharepoint/v3/contenttype/forms"/>
  </ds:schemaRefs>
</ds:datastoreItem>
</file>

<file path=customXml/itemProps3.xml><?xml version="1.0" encoding="utf-8"?>
<ds:datastoreItem xmlns:ds="http://schemas.openxmlformats.org/officeDocument/2006/customXml" ds:itemID="{3D840362-CD58-4506-841E-8D459536BB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195BB6-7E3C-4DB7-8ABE-A8E8C4E64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B361C6BD</Template>
  <TotalTime>23</TotalTime>
  <Pages>39</Pages>
  <Words>14959</Words>
  <Characters>77309</Characters>
  <Application>Microsoft Office Word</Application>
  <DocSecurity>0</DocSecurity>
  <Lines>644</Lines>
  <Paragraphs>184</Paragraphs>
  <ScaleCrop>false</ScaleCrop>
  <HeadingPairs>
    <vt:vector size="2" baseType="variant">
      <vt:variant>
        <vt:lpstr>Title</vt:lpstr>
      </vt:variant>
      <vt:variant>
        <vt:i4>1</vt:i4>
      </vt:variant>
    </vt:vector>
  </HeadingPairs>
  <TitlesOfParts>
    <vt:vector size="1" baseType="lpstr">
      <vt:lpstr>DRAFT</vt:lpstr>
    </vt:vector>
  </TitlesOfParts>
  <Company>Oxford City Council</Company>
  <LinksUpToDate>false</LinksUpToDate>
  <CharactersWithSpaces>92084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x</dc:creator>
  <cp:lastModifiedBy>MITCHELL John</cp:lastModifiedBy>
  <cp:revision>4</cp:revision>
  <cp:lastPrinted>2020-11-11T09:45:00Z</cp:lastPrinted>
  <dcterms:created xsi:type="dcterms:W3CDTF">2020-12-01T07:45:00Z</dcterms:created>
  <dcterms:modified xsi:type="dcterms:W3CDTF">2020-12-01T12:03:00Z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0x010100CB1CFF3E78868040ACC0EB64BDC8DF21</vt:lpwstr>
  </property>
</Properties>
</file>